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0ED3" w:rsidRDefault="00CF0ED3"/>
    <w:p w:rsidR="00CF0ED3" w:rsidRDefault="00CF0ED3">
      <w:pPr>
        <w:tabs>
          <w:tab w:val="decimal" w:pos="1134"/>
        </w:tabs>
        <w:spacing w:line="336" w:lineRule="exact"/>
      </w:pPr>
      <w:r>
        <w:t>KANTON ST.GALLEN</w:t>
      </w:r>
    </w:p>
    <w:p w:rsidR="00CF0ED3" w:rsidRDefault="00CF0ED3"/>
    <w:p w:rsidR="00CF0ED3" w:rsidRDefault="00CF0ED3">
      <w:r>
        <w:t xml:space="preserve">                     </w:t>
      </w:r>
    </w:p>
    <w:tbl>
      <w:tblPr>
        <w:tblW w:w="0" w:type="auto"/>
        <w:tblInd w:w="70" w:type="dxa"/>
        <w:tblLayout w:type="fixed"/>
        <w:tblCellMar>
          <w:left w:w="70" w:type="dxa"/>
          <w:right w:w="70" w:type="dxa"/>
        </w:tblCellMar>
        <w:tblLook w:val="0000" w:firstRow="0" w:lastRow="0" w:firstColumn="0" w:lastColumn="0" w:noHBand="0" w:noVBand="0"/>
      </w:tblPr>
      <w:tblGrid>
        <w:gridCol w:w="9212"/>
      </w:tblGrid>
      <w:tr w:rsidR="00CF0ED3">
        <w:trPr>
          <w:cantSplit/>
        </w:trPr>
        <w:tc>
          <w:tcPr>
            <w:tcW w:w="9212" w:type="dxa"/>
          </w:tcPr>
          <w:p w:rsidR="00F323ED" w:rsidRPr="00DA54C5" w:rsidRDefault="00F323ED" w:rsidP="00F323ED">
            <w:pPr>
              <w:tabs>
                <w:tab w:val="decimal" w:pos="1134"/>
              </w:tabs>
              <w:spacing w:line="336" w:lineRule="exact"/>
              <w:jc w:val="center"/>
              <w:rPr>
                <w:b/>
                <w:smallCaps/>
                <w:sz w:val="28"/>
                <w:szCs w:val="28"/>
              </w:rPr>
            </w:pPr>
            <w:r w:rsidRPr="00DA54C5">
              <w:rPr>
                <w:b/>
                <w:smallCaps/>
                <w:sz w:val="28"/>
                <w:szCs w:val="28"/>
              </w:rPr>
              <w:t>B E M E R K U N G E N   Z U M</w:t>
            </w:r>
          </w:p>
          <w:p w:rsidR="00CF0ED3" w:rsidRPr="00DA54C5" w:rsidRDefault="00CF0ED3">
            <w:pPr>
              <w:tabs>
                <w:tab w:val="decimal" w:pos="1134"/>
              </w:tabs>
              <w:spacing w:line="336" w:lineRule="exact"/>
              <w:rPr>
                <w:b/>
                <w:smallCaps/>
                <w:sz w:val="28"/>
                <w:szCs w:val="28"/>
              </w:rPr>
            </w:pPr>
          </w:p>
          <w:p w:rsidR="00726366" w:rsidRPr="00DA54C5" w:rsidRDefault="00CF0ED3" w:rsidP="00F323ED">
            <w:pPr>
              <w:tabs>
                <w:tab w:val="decimal" w:pos="1134"/>
              </w:tabs>
              <w:spacing w:line="336" w:lineRule="exact"/>
              <w:jc w:val="center"/>
              <w:rPr>
                <w:b/>
                <w:smallCaps/>
                <w:sz w:val="28"/>
                <w:szCs w:val="28"/>
              </w:rPr>
            </w:pPr>
            <w:r w:rsidRPr="00DA54C5">
              <w:rPr>
                <w:b/>
                <w:smallCaps/>
                <w:sz w:val="28"/>
                <w:szCs w:val="28"/>
              </w:rPr>
              <w:t>M U S T E R -</w:t>
            </w:r>
            <w:r w:rsidR="00F323ED" w:rsidRPr="00DA54C5">
              <w:rPr>
                <w:b/>
                <w:smallCaps/>
                <w:sz w:val="28"/>
                <w:szCs w:val="28"/>
              </w:rPr>
              <w:t xml:space="preserve"> </w:t>
            </w:r>
            <w:r w:rsidRPr="00DA54C5">
              <w:rPr>
                <w:b/>
                <w:smallCaps/>
                <w:sz w:val="28"/>
                <w:szCs w:val="28"/>
              </w:rPr>
              <w:t xml:space="preserve">A B </w:t>
            </w:r>
            <w:r w:rsidR="00DA54C5">
              <w:rPr>
                <w:b/>
                <w:smallCaps/>
                <w:sz w:val="28"/>
                <w:szCs w:val="28"/>
              </w:rPr>
              <w:t xml:space="preserve">F A L </w:t>
            </w:r>
            <w:proofErr w:type="spellStart"/>
            <w:r w:rsidR="00DA54C5">
              <w:rPr>
                <w:b/>
                <w:smallCaps/>
                <w:sz w:val="28"/>
                <w:szCs w:val="28"/>
              </w:rPr>
              <w:t>L</w:t>
            </w:r>
            <w:proofErr w:type="spellEnd"/>
            <w:r w:rsidRPr="00DA54C5">
              <w:rPr>
                <w:b/>
                <w:smallCaps/>
                <w:sz w:val="28"/>
                <w:szCs w:val="28"/>
              </w:rPr>
              <w:t xml:space="preserve"> R E G L E M E N </w:t>
            </w:r>
            <w:proofErr w:type="gramStart"/>
            <w:r w:rsidRPr="00DA54C5">
              <w:rPr>
                <w:b/>
                <w:smallCaps/>
                <w:sz w:val="28"/>
                <w:szCs w:val="28"/>
              </w:rPr>
              <w:t>T</w:t>
            </w:r>
            <w:r w:rsidR="00726366" w:rsidRPr="00DA54C5">
              <w:rPr>
                <w:b/>
                <w:smallCaps/>
                <w:sz w:val="28"/>
                <w:szCs w:val="28"/>
              </w:rPr>
              <w:t xml:space="preserve">  </w:t>
            </w:r>
            <w:r w:rsidR="00EA5A3C" w:rsidRPr="00DA54C5">
              <w:rPr>
                <w:b/>
                <w:smallCaps/>
                <w:sz w:val="28"/>
                <w:szCs w:val="28"/>
              </w:rPr>
              <w:t>2</w:t>
            </w:r>
            <w:proofErr w:type="gramEnd"/>
            <w:r w:rsidR="00FD71B3" w:rsidRPr="00DA54C5">
              <w:rPr>
                <w:b/>
                <w:smallCaps/>
                <w:sz w:val="28"/>
                <w:szCs w:val="28"/>
              </w:rPr>
              <w:t xml:space="preserve"> </w:t>
            </w:r>
            <w:r w:rsidR="00EA5A3C" w:rsidRPr="00DA54C5">
              <w:rPr>
                <w:b/>
                <w:smallCaps/>
                <w:sz w:val="28"/>
                <w:szCs w:val="28"/>
              </w:rPr>
              <w:t>0</w:t>
            </w:r>
            <w:r w:rsidR="00FD71B3" w:rsidRPr="00DA54C5">
              <w:rPr>
                <w:b/>
                <w:smallCaps/>
                <w:sz w:val="28"/>
                <w:szCs w:val="28"/>
              </w:rPr>
              <w:t xml:space="preserve"> </w:t>
            </w:r>
            <w:r w:rsidR="00EA5A3C" w:rsidRPr="00DA54C5">
              <w:rPr>
                <w:b/>
                <w:smallCaps/>
                <w:sz w:val="28"/>
                <w:szCs w:val="28"/>
              </w:rPr>
              <w:t>1</w:t>
            </w:r>
            <w:r w:rsidR="00FD71B3" w:rsidRPr="00DA54C5">
              <w:rPr>
                <w:b/>
                <w:smallCaps/>
                <w:sz w:val="28"/>
                <w:szCs w:val="28"/>
              </w:rPr>
              <w:t xml:space="preserve"> </w:t>
            </w:r>
            <w:r w:rsidR="00EA5A3C" w:rsidRPr="00DA54C5">
              <w:rPr>
                <w:b/>
                <w:smallCaps/>
                <w:sz w:val="28"/>
                <w:szCs w:val="28"/>
              </w:rPr>
              <w:t>9</w:t>
            </w:r>
          </w:p>
          <w:p w:rsidR="00726366" w:rsidRPr="00DA54C5" w:rsidRDefault="00726366">
            <w:pPr>
              <w:tabs>
                <w:tab w:val="decimal" w:pos="1134"/>
              </w:tabs>
              <w:spacing w:line="336" w:lineRule="exact"/>
              <w:jc w:val="center"/>
              <w:rPr>
                <w:b/>
                <w:smallCaps/>
                <w:sz w:val="28"/>
                <w:szCs w:val="28"/>
              </w:rPr>
            </w:pPr>
          </w:p>
          <w:p w:rsidR="00CF0ED3" w:rsidRDefault="00CF0ED3" w:rsidP="001D39C5">
            <w:pPr>
              <w:tabs>
                <w:tab w:val="clear" w:pos="426"/>
                <w:tab w:val="clear" w:pos="851"/>
                <w:tab w:val="clear" w:pos="1276"/>
                <w:tab w:val="clear" w:pos="5216"/>
                <w:tab w:val="clear" w:pos="7938"/>
                <w:tab w:val="clear" w:pos="9299"/>
                <w:tab w:val="left" w:pos="3300"/>
              </w:tabs>
              <w:spacing w:line="336" w:lineRule="exact"/>
              <w:rPr>
                <w:b/>
                <w:smallCaps/>
                <w:sz w:val="28"/>
              </w:rPr>
            </w:pPr>
          </w:p>
        </w:tc>
      </w:tr>
      <w:tr w:rsidR="00937973">
        <w:trPr>
          <w:cantSplit/>
        </w:trPr>
        <w:tc>
          <w:tcPr>
            <w:tcW w:w="9212" w:type="dxa"/>
          </w:tcPr>
          <w:p w:rsidR="001632F4" w:rsidRPr="00887C6B" w:rsidRDefault="001632F4" w:rsidP="00D503E2">
            <w:pPr>
              <w:numPr>
                <w:ilvl w:val="0"/>
                <w:numId w:val="9"/>
              </w:numPr>
              <w:rPr>
                <w:b/>
                <w:sz w:val="30"/>
                <w:szCs w:val="30"/>
              </w:rPr>
            </w:pPr>
            <w:r w:rsidRPr="00887C6B">
              <w:rPr>
                <w:b/>
                <w:sz w:val="30"/>
                <w:szCs w:val="30"/>
              </w:rPr>
              <w:t>Allgemeines</w:t>
            </w:r>
          </w:p>
          <w:p w:rsidR="00937973" w:rsidRDefault="00937973" w:rsidP="00D503E2">
            <w:pPr>
              <w:tabs>
                <w:tab w:val="decimal" w:pos="1134"/>
              </w:tabs>
              <w:rPr>
                <w:b/>
                <w:smallCaps/>
                <w:sz w:val="28"/>
              </w:rPr>
            </w:pPr>
          </w:p>
        </w:tc>
      </w:tr>
    </w:tbl>
    <w:p w:rsidR="001632F4" w:rsidRPr="00815F6E" w:rsidRDefault="00D503E2" w:rsidP="00815F6E">
      <w:pPr>
        <w:spacing w:line="360" w:lineRule="auto"/>
        <w:rPr>
          <w:sz w:val="21"/>
          <w:szCs w:val="21"/>
        </w:rPr>
      </w:pPr>
      <w:r w:rsidRPr="00815F6E">
        <w:rPr>
          <w:sz w:val="21"/>
          <w:szCs w:val="21"/>
        </w:rPr>
        <w:t>Das</w:t>
      </w:r>
      <w:r w:rsidR="001632F4" w:rsidRPr="00815F6E">
        <w:rPr>
          <w:sz w:val="21"/>
          <w:szCs w:val="21"/>
        </w:rPr>
        <w:t xml:space="preserve"> vorliegende Muster</w:t>
      </w:r>
      <w:r w:rsidRPr="00815F6E">
        <w:rPr>
          <w:sz w:val="21"/>
          <w:szCs w:val="21"/>
        </w:rPr>
        <w:t>-Abfallreglement unt</w:t>
      </w:r>
      <w:r w:rsidR="001632F4" w:rsidRPr="00815F6E">
        <w:rPr>
          <w:sz w:val="21"/>
          <w:szCs w:val="21"/>
        </w:rPr>
        <w:t xml:space="preserve">erstützt die Gemeinden bei der Ausarbeitung oder Revision ihrer kommunalen </w:t>
      </w:r>
      <w:proofErr w:type="spellStart"/>
      <w:r w:rsidR="001632F4" w:rsidRPr="00815F6E">
        <w:rPr>
          <w:sz w:val="21"/>
          <w:szCs w:val="21"/>
        </w:rPr>
        <w:t>Abfall</w:t>
      </w:r>
      <w:r w:rsidRPr="00815F6E">
        <w:rPr>
          <w:sz w:val="21"/>
          <w:szCs w:val="21"/>
        </w:rPr>
        <w:t>reglemente</w:t>
      </w:r>
      <w:proofErr w:type="spellEnd"/>
      <w:r w:rsidR="001632F4" w:rsidRPr="00815F6E">
        <w:rPr>
          <w:sz w:val="21"/>
          <w:szCs w:val="21"/>
        </w:rPr>
        <w:t xml:space="preserve">. </w:t>
      </w:r>
      <w:r w:rsidRPr="00815F6E">
        <w:rPr>
          <w:sz w:val="21"/>
          <w:szCs w:val="21"/>
        </w:rPr>
        <w:t>Es</w:t>
      </w:r>
      <w:r w:rsidR="001632F4" w:rsidRPr="00815F6E">
        <w:rPr>
          <w:sz w:val="21"/>
          <w:szCs w:val="21"/>
        </w:rPr>
        <w:t xml:space="preserve"> ist ein Hilfsdokument für die Gemeinden; es entbindet die</w:t>
      </w:r>
      <w:r w:rsidR="00C57AAE" w:rsidRPr="00815F6E">
        <w:rPr>
          <w:sz w:val="21"/>
          <w:szCs w:val="21"/>
        </w:rPr>
        <w:t>se</w:t>
      </w:r>
      <w:r w:rsidR="001632F4" w:rsidRPr="00815F6E">
        <w:rPr>
          <w:sz w:val="21"/>
          <w:szCs w:val="21"/>
        </w:rPr>
        <w:t xml:space="preserve"> nicht davor, sich im Rahmen des Rechtsetzungsprozesses zu überlegen, ob die vorgeschlagenen Bestimmungen auch wirklich auf ihre Verhältnisse und Bedürfnisse zugeschnitten sind.</w:t>
      </w:r>
      <w:r w:rsidR="00F501FA" w:rsidRPr="00815F6E">
        <w:rPr>
          <w:sz w:val="21"/>
          <w:szCs w:val="21"/>
        </w:rPr>
        <w:t xml:space="preserve"> Dies betrifft insbesondere die kursiv geschriebenen und grau hinterlegten Bestimmungen</w:t>
      </w:r>
      <w:r w:rsidR="00F539F9">
        <w:rPr>
          <w:sz w:val="21"/>
          <w:szCs w:val="21"/>
        </w:rPr>
        <w:t xml:space="preserve"> im Muster-Abfallreglement und in der Muster-Abfallverordnung</w:t>
      </w:r>
      <w:r w:rsidR="00F501FA" w:rsidRPr="00815F6E">
        <w:rPr>
          <w:sz w:val="21"/>
          <w:szCs w:val="21"/>
        </w:rPr>
        <w:t xml:space="preserve">. </w:t>
      </w:r>
    </w:p>
    <w:p w:rsidR="00241DC3" w:rsidRPr="00815F6E" w:rsidRDefault="00241DC3" w:rsidP="00815F6E">
      <w:pPr>
        <w:spacing w:line="360" w:lineRule="auto"/>
        <w:rPr>
          <w:sz w:val="21"/>
          <w:szCs w:val="21"/>
        </w:rPr>
      </w:pPr>
    </w:p>
    <w:p w:rsidR="00B96CFC" w:rsidRPr="00815F6E" w:rsidRDefault="00F501FA" w:rsidP="00815F6E">
      <w:pPr>
        <w:spacing w:line="360" w:lineRule="auto"/>
        <w:rPr>
          <w:sz w:val="21"/>
          <w:szCs w:val="21"/>
        </w:rPr>
      </w:pPr>
      <w:r w:rsidRPr="00815F6E">
        <w:rPr>
          <w:sz w:val="21"/>
          <w:szCs w:val="21"/>
        </w:rPr>
        <w:t xml:space="preserve">Das Abfallrecht der Schweiz </w:t>
      </w:r>
      <w:r w:rsidR="00ED2AA4">
        <w:rPr>
          <w:sz w:val="21"/>
          <w:szCs w:val="21"/>
        </w:rPr>
        <w:t>beruht insbesondere</w:t>
      </w:r>
      <w:r w:rsidRPr="00815F6E">
        <w:rPr>
          <w:sz w:val="21"/>
          <w:szCs w:val="21"/>
        </w:rPr>
        <w:t xml:space="preserve"> auf dem Umweltschutzgesetz (SR 814.01; abgekürzt USG) und der Verordnung über die Vermeidung und die Entsorgung von Abfällen (SR 814.600; abgekürzt VVEA). Die Umsetzung des eidgenössischen Abfallrechts ist an die Kantone dele</w:t>
      </w:r>
      <w:r w:rsidRPr="00815F6E">
        <w:rPr>
          <w:sz w:val="21"/>
          <w:szCs w:val="21"/>
        </w:rPr>
        <w:softHyphen/>
        <w:t xml:space="preserve">giert. Der Kanton St.Gallen setzt diese Vorgaben im Einführungsgesetz zur eidgenössischen Umweltschutzgesetzgebung (sGS 672.1; abgekürzt EG-USG) um. Insbesondere werden die </w:t>
      </w:r>
      <w:r w:rsidR="009047C9" w:rsidRPr="00815F6E">
        <w:rPr>
          <w:sz w:val="21"/>
          <w:szCs w:val="21"/>
        </w:rPr>
        <w:t xml:space="preserve">politischen </w:t>
      </w:r>
      <w:r w:rsidRPr="00815F6E">
        <w:rPr>
          <w:sz w:val="21"/>
          <w:szCs w:val="21"/>
        </w:rPr>
        <w:t>Gemeinden mit der Entsorgung von Siedlungsabfällen beauftra</w:t>
      </w:r>
      <w:r w:rsidRPr="00815F6E">
        <w:rPr>
          <w:sz w:val="21"/>
          <w:szCs w:val="21"/>
        </w:rPr>
        <w:softHyphen/>
        <w:t>gt (vgl. Art. 44 EG-USG). Die Gemeinden wiederum müssen konkret Organisation, Zuständigkeiten und Pflichten, Gebühren usw. in kommunalen Reglementen und Verordnungen festlegen</w:t>
      </w:r>
      <w:r w:rsidR="009047C9" w:rsidRPr="00815F6E">
        <w:rPr>
          <w:sz w:val="21"/>
          <w:szCs w:val="21"/>
        </w:rPr>
        <w:t xml:space="preserve"> (vgl. auch Art. 45 EG-USG)</w:t>
      </w:r>
      <w:r w:rsidRPr="00815F6E">
        <w:rPr>
          <w:sz w:val="21"/>
          <w:szCs w:val="21"/>
        </w:rPr>
        <w:t>. In einem Abfall</w:t>
      </w:r>
      <w:r w:rsidRPr="00815F6E">
        <w:rPr>
          <w:sz w:val="21"/>
          <w:szCs w:val="21"/>
        </w:rPr>
        <w:softHyphen/>
        <w:t xml:space="preserve">reglement können die Grundsätze der Abfallentsorgung, Zuständigkeiten und der Gebührenrahmen geregelt werden. </w:t>
      </w:r>
      <w:r w:rsidR="009047C9" w:rsidRPr="00815F6E">
        <w:rPr>
          <w:sz w:val="21"/>
          <w:szCs w:val="21"/>
        </w:rPr>
        <w:t>Das Abfallreglement untersteht dem fakultativen Referendum (vgl. Art. 23 des Gemeindegesetzes, sGS 151.2</w:t>
      </w:r>
      <w:r w:rsidR="00160ABD">
        <w:rPr>
          <w:sz w:val="21"/>
          <w:szCs w:val="21"/>
        </w:rPr>
        <w:t>; abgekürzt GG</w:t>
      </w:r>
      <w:r w:rsidR="009047C9" w:rsidRPr="00815F6E">
        <w:rPr>
          <w:sz w:val="21"/>
          <w:szCs w:val="21"/>
        </w:rPr>
        <w:t xml:space="preserve">). </w:t>
      </w:r>
      <w:r w:rsidRPr="00815F6E">
        <w:rPr>
          <w:sz w:val="21"/>
          <w:szCs w:val="21"/>
        </w:rPr>
        <w:t>Die Detailbestimmungen der Abfallentsorgung können in einer Abfallverordnung geregelt werden, die vom zuständigen Exekutivorgan bei Bedarf angepasst werden kann.</w:t>
      </w:r>
    </w:p>
    <w:p w:rsidR="00815F6E" w:rsidRPr="00815F6E" w:rsidRDefault="00815F6E" w:rsidP="00815F6E">
      <w:pPr>
        <w:pStyle w:val="NurText"/>
        <w:spacing w:line="360" w:lineRule="auto"/>
      </w:pPr>
    </w:p>
    <w:p w:rsidR="001632F4" w:rsidRPr="00ED2AA4" w:rsidRDefault="00263118" w:rsidP="00815F6E">
      <w:pPr>
        <w:spacing w:line="360" w:lineRule="auto"/>
        <w:rPr>
          <w:sz w:val="21"/>
          <w:szCs w:val="21"/>
        </w:rPr>
      </w:pPr>
      <w:r w:rsidRPr="00815F6E">
        <w:rPr>
          <w:sz w:val="21"/>
          <w:szCs w:val="21"/>
        </w:rPr>
        <w:t>Das</w:t>
      </w:r>
      <w:r w:rsidR="00C57AAE" w:rsidRPr="00815F6E">
        <w:rPr>
          <w:sz w:val="21"/>
          <w:szCs w:val="21"/>
        </w:rPr>
        <w:t xml:space="preserve"> Muster-Abfallreglement </w:t>
      </w:r>
      <w:r w:rsidR="00B51928" w:rsidRPr="00815F6E">
        <w:rPr>
          <w:sz w:val="21"/>
          <w:szCs w:val="21"/>
        </w:rPr>
        <w:t xml:space="preserve">2019 </w:t>
      </w:r>
      <w:r w:rsidR="001632F4" w:rsidRPr="00815F6E">
        <w:rPr>
          <w:sz w:val="21"/>
          <w:szCs w:val="21"/>
        </w:rPr>
        <w:t xml:space="preserve">stellt eine Weiterentwicklung </w:t>
      </w:r>
      <w:r w:rsidR="00C57AAE" w:rsidRPr="00815F6E">
        <w:rPr>
          <w:sz w:val="21"/>
          <w:szCs w:val="21"/>
        </w:rPr>
        <w:t>des Muster-Abfallreglements des Kantons St.Gallen (letzte Fassung vom August 2012) dar.</w:t>
      </w:r>
      <w:r w:rsidR="001632F4" w:rsidRPr="00815F6E">
        <w:rPr>
          <w:sz w:val="21"/>
          <w:szCs w:val="21"/>
        </w:rPr>
        <w:t xml:space="preserve"> </w:t>
      </w:r>
      <w:r w:rsidR="00B51928" w:rsidRPr="00815F6E">
        <w:rPr>
          <w:sz w:val="21"/>
          <w:szCs w:val="21"/>
        </w:rPr>
        <w:t xml:space="preserve">Es </w:t>
      </w:r>
      <w:r w:rsidR="001632F4" w:rsidRPr="00815F6E">
        <w:rPr>
          <w:sz w:val="21"/>
          <w:szCs w:val="21"/>
        </w:rPr>
        <w:t xml:space="preserve">berücksichtigt die seither erfolgten Rechtsänderungen, insbesondere die Totalrevision der Technischen Verordnung über Abfälle, welche per 1. Januar 2016 durch die bereits erwähnte VVEA abgelöst wurde. Eine wichtige Rechtsänderung betrifft das Entsorgungsmonopol der Kantone für Siedlungsabfälle: Dieses </w:t>
      </w:r>
      <w:r w:rsidR="003529E1" w:rsidRPr="00ED2AA4">
        <w:rPr>
          <w:sz w:val="21"/>
          <w:szCs w:val="21"/>
        </w:rPr>
        <w:t>ist</w:t>
      </w:r>
      <w:r w:rsidR="001632F4" w:rsidRPr="00ED2AA4">
        <w:rPr>
          <w:sz w:val="21"/>
          <w:szCs w:val="21"/>
        </w:rPr>
        <w:t xml:space="preserve"> für vergleichbare Abfälle von Unternehmen ab 250 Vollzeitstellen per 1. Januar 2019 aufgehoben </w:t>
      </w:r>
      <w:r w:rsidR="003529E1" w:rsidRPr="00ED2AA4">
        <w:rPr>
          <w:sz w:val="21"/>
          <w:szCs w:val="21"/>
        </w:rPr>
        <w:t xml:space="preserve">worden </w:t>
      </w:r>
      <w:r w:rsidR="001632F4" w:rsidRPr="00ED2AA4">
        <w:rPr>
          <w:sz w:val="21"/>
          <w:szCs w:val="21"/>
        </w:rPr>
        <w:t>(Art. 3 Bst. a i.V. mit Art. 49 Abs. 2 VVEA).</w:t>
      </w:r>
    </w:p>
    <w:p w:rsidR="00241DC3" w:rsidRPr="00815F6E" w:rsidRDefault="00241DC3" w:rsidP="00815F6E">
      <w:pPr>
        <w:spacing w:line="360" w:lineRule="auto"/>
        <w:rPr>
          <w:sz w:val="21"/>
          <w:szCs w:val="21"/>
        </w:rPr>
      </w:pPr>
      <w:r w:rsidRPr="00815F6E">
        <w:rPr>
          <w:sz w:val="21"/>
          <w:szCs w:val="21"/>
        </w:rPr>
        <w:t xml:space="preserve">Das Muster-Abfallreglement berücksichtigt insbesondere auch die </w:t>
      </w:r>
      <w:hyperlink r:id="rId8" w:history="1">
        <w:r w:rsidRPr="008216BD">
          <w:rPr>
            <w:rStyle w:val="Hyperlink"/>
            <w:sz w:val="21"/>
            <w:szCs w:val="21"/>
          </w:rPr>
          <w:t>Vollzugshilfe "Finanzierung der Siedlungsabfallentsorgung"</w:t>
        </w:r>
      </w:hyperlink>
      <w:r w:rsidRPr="00815F6E">
        <w:rPr>
          <w:sz w:val="21"/>
          <w:szCs w:val="21"/>
        </w:rPr>
        <w:t>, herausgegeben vom Bundesamt für Umwelt (BAFU) im Dezember 2018</w:t>
      </w:r>
      <w:r w:rsidR="00D518E6" w:rsidRPr="00815F6E">
        <w:rPr>
          <w:sz w:val="21"/>
          <w:szCs w:val="21"/>
        </w:rPr>
        <w:t xml:space="preserve"> (nachfolgend Vollzugshilfe BAFU 2018)</w:t>
      </w:r>
      <w:r w:rsidRPr="00815F6E">
        <w:rPr>
          <w:sz w:val="21"/>
          <w:szCs w:val="21"/>
        </w:rPr>
        <w:t>.</w:t>
      </w:r>
    </w:p>
    <w:p w:rsidR="00815F6E" w:rsidRDefault="00815F6E" w:rsidP="00815F6E">
      <w:pPr>
        <w:pStyle w:val="NurText"/>
      </w:pPr>
    </w:p>
    <w:p w:rsidR="001632F4" w:rsidRPr="00887C6B" w:rsidRDefault="001632F4" w:rsidP="001632F4">
      <w:pPr>
        <w:numPr>
          <w:ilvl w:val="0"/>
          <w:numId w:val="9"/>
        </w:numPr>
        <w:spacing w:line="288" w:lineRule="exact"/>
        <w:ind w:left="426" w:hanging="426"/>
        <w:rPr>
          <w:b/>
          <w:sz w:val="30"/>
          <w:szCs w:val="30"/>
        </w:rPr>
      </w:pPr>
      <w:r w:rsidRPr="00887C6B">
        <w:rPr>
          <w:b/>
          <w:sz w:val="30"/>
          <w:szCs w:val="30"/>
        </w:rPr>
        <w:lastRenderedPageBreak/>
        <w:t>Bestimmungen des Muster-</w:t>
      </w:r>
      <w:r>
        <w:rPr>
          <w:b/>
          <w:sz w:val="30"/>
          <w:szCs w:val="30"/>
        </w:rPr>
        <w:t>Abfall</w:t>
      </w:r>
      <w:r w:rsidRPr="00887C6B">
        <w:rPr>
          <w:b/>
          <w:sz w:val="30"/>
          <w:szCs w:val="30"/>
        </w:rPr>
        <w:t>reglements im Einzelnen</w:t>
      </w:r>
    </w:p>
    <w:p w:rsidR="001632F4" w:rsidRDefault="001632F4" w:rsidP="001632F4">
      <w:pPr>
        <w:spacing w:line="288" w:lineRule="exact"/>
        <w:rPr>
          <w:sz w:val="30"/>
          <w:szCs w:val="30"/>
        </w:rPr>
      </w:pPr>
    </w:p>
    <w:p w:rsidR="008F789F" w:rsidRPr="00887C6B" w:rsidRDefault="008F789F" w:rsidP="001632F4">
      <w:pPr>
        <w:spacing w:line="288" w:lineRule="exact"/>
        <w:rPr>
          <w:sz w:val="30"/>
          <w:szCs w:val="30"/>
        </w:rPr>
      </w:pPr>
    </w:p>
    <w:p w:rsidR="001632F4" w:rsidRPr="00241DC3" w:rsidRDefault="001632F4" w:rsidP="008F789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spacing w:line="288" w:lineRule="exact"/>
        <w:rPr>
          <w:rFonts w:cs="Arial"/>
          <w:b/>
          <w:sz w:val="21"/>
          <w:szCs w:val="21"/>
          <w:lang w:val="de-DE"/>
        </w:rPr>
      </w:pPr>
      <w:r w:rsidRPr="00241DC3">
        <w:rPr>
          <w:rFonts w:cs="Arial"/>
          <w:b/>
          <w:sz w:val="21"/>
          <w:szCs w:val="21"/>
          <w:lang w:val="de-DE"/>
        </w:rPr>
        <w:t>Zu Art. 1:</w:t>
      </w:r>
    </w:p>
    <w:p w:rsidR="00A331B8" w:rsidRDefault="00A331B8" w:rsidP="00815F6E">
      <w:pPr>
        <w:spacing w:line="360" w:lineRule="auto"/>
        <w:rPr>
          <w:sz w:val="21"/>
          <w:szCs w:val="21"/>
        </w:rPr>
      </w:pPr>
    </w:p>
    <w:p w:rsidR="0038445D" w:rsidRPr="008216BD" w:rsidRDefault="0038445D" w:rsidP="00815F6E">
      <w:pPr>
        <w:spacing w:line="360" w:lineRule="auto"/>
        <w:rPr>
          <w:sz w:val="21"/>
          <w:szCs w:val="21"/>
        </w:rPr>
      </w:pPr>
      <w:r w:rsidRPr="008216BD">
        <w:rPr>
          <w:sz w:val="21"/>
          <w:szCs w:val="21"/>
        </w:rPr>
        <w:t>Art.</w:t>
      </w:r>
      <w:r w:rsidR="004D0461" w:rsidRPr="008216BD">
        <w:rPr>
          <w:sz w:val="21"/>
          <w:szCs w:val="21"/>
        </w:rPr>
        <w:t xml:space="preserve"> 1 umschreibt den </w:t>
      </w:r>
      <w:r w:rsidRPr="008216BD">
        <w:rPr>
          <w:sz w:val="21"/>
          <w:szCs w:val="21"/>
        </w:rPr>
        <w:t>Geltungsbereich des Muster-Abfallreglements</w:t>
      </w:r>
      <w:r w:rsidR="004D0461" w:rsidRPr="008216BD">
        <w:rPr>
          <w:sz w:val="21"/>
          <w:szCs w:val="21"/>
        </w:rPr>
        <w:t>. Diese</w:t>
      </w:r>
      <w:r w:rsidRPr="008216BD">
        <w:rPr>
          <w:sz w:val="21"/>
          <w:szCs w:val="21"/>
        </w:rPr>
        <w:t>s</w:t>
      </w:r>
      <w:r w:rsidR="004D0461" w:rsidRPr="008216BD">
        <w:rPr>
          <w:sz w:val="21"/>
          <w:szCs w:val="21"/>
        </w:rPr>
        <w:t xml:space="preserve"> regelt den Umgang mit Siedlungsabfällen. </w:t>
      </w:r>
      <w:r w:rsidR="00B51928" w:rsidRPr="008216BD">
        <w:rPr>
          <w:sz w:val="21"/>
          <w:szCs w:val="21"/>
        </w:rPr>
        <w:t xml:space="preserve">Was unter Siedlungsabfällen zu verstehen ist, ergibt sich aus Art. 3 des Reglements. </w:t>
      </w:r>
    </w:p>
    <w:p w:rsidR="001A2101" w:rsidRDefault="001A2101" w:rsidP="001A2101">
      <w:pPr>
        <w:spacing w:line="288" w:lineRule="exact"/>
        <w:rPr>
          <w:rFonts w:cs="Arial"/>
          <w:sz w:val="21"/>
          <w:szCs w:val="21"/>
          <w:lang w:val="de-DE"/>
        </w:rPr>
      </w:pPr>
    </w:p>
    <w:p w:rsidR="008F789F" w:rsidRPr="00241DC3" w:rsidRDefault="008F789F" w:rsidP="001A2101">
      <w:pPr>
        <w:spacing w:line="288" w:lineRule="exact"/>
        <w:rPr>
          <w:rFonts w:cs="Arial"/>
          <w:sz w:val="21"/>
          <w:szCs w:val="21"/>
          <w:lang w:val="de-DE"/>
        </w:rPr>
      </w:pPr>
    </w:p>
    <w:p w:rsidR="001A2101" w:rsidRPr="00241DC3" w:rsidRDefault="001A2101" w:rsidP="008F789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spacing w:line="288" w:lineRule="exact"/>
        <w:rPr>
          <w:rFonts w:cs="Arial"/>
          <w:b/>
          <w:sz w:val="21"/>
          <w:szCs w:val="21"/>
          <w:lang w:val="de-DE"/>
        </w:rPr>
      </w:pPr>
      <w:r w:rsidRPr="00241DC3">
        <w:rPr>
          <w:rFonts w:cs="Arial"/>
          <w:b/>
          <w:sz w:val="21"/>
          <w:szCs w:val="21"/>
          <w:lang w:val="de-DE"/>
        </w:rPr>
        <w:t>Zu Art. 2:</w:t>
      </w:r>
    </w:p>
    <w:p w:rsidR="00815F6E" w:rsidRDefault="00815F6E" w:rsidP="001A2101">
      <w:pPr>
        <w:spacing w:line="288" w:lineRule="exact"/>
        <w:rPr>
          <w:rFonts w:cs="Arial"/>
          <w:b/>
          <w:sz w:val="21"/>
          <w:szCs w:val="21"/>
        </w:rPr>
      </w:pPr>
    </w:p>
    <w:p w:rsidR="001A2101" w:rsidRPr="008216BD" w:rsidRDefault="001A2101" w:rsidP="00815F6E">
      <w:pPr>
        <w:spacing w:line="360" w:lineRule="auto"/>
        <w:rPr>
          <w:b/>
          <w:sz w:val="21"/>
          <w:szCs w:val="21"/>
        </w:rPr>
      </w:pPr>
      <w:r w:rsidRPr="008216BD">
        <w:rPr>
          <w:b/>
          <w:sz w:val="21"/>
          <w:szCs w:val="21"/>
        </w:rPr>
        <w:t>Abs. 1</w:t>
      </w:r>
    </w:p>
    <w:p w:rsidR="001A2101" w:rsidRPr="008216BD" w:rsidRDefault="001A2101" w:rsidP="00815F6E">
      <w:pPr>
        <w:spacing w:line="360" w:lineRule="auto"/>
        <w:rPr>
          <w:sz w:val="21"/>
          <w:szCs w:val="21"/>
        </w:rPr>
      </w:pPr>
      <w:r w:rsidRPr="008216BD">
        <w:rPr>
          <w:sz w:val="21"/>
          <w:szCs w:val="21"/>
        </w:rPr>
        <w:t>Aus Art.</w:t>
      </w:r>
      <w:r w:rsidR="00B87829">
        <w:rPr>
          <w:sz w:val="21"/>
          <w:szCs w:val="21"/>
        </w:rPr>
        <w:t xml:space="preserve"> </w:t>
      </w:r>
      <w:r w:rsidRPr="008216BD">
        <w:rPr>
          <w:sz w:val="21"/>
          <w:szCs w:val="21"/>
        </w:rPr>
        <w:t>44 Bst. a EG-USG ergibt sich, dass die Entsorgung von Siedlungsabfällen der politischen Gemeinde obliegt.</w:t>
      </w:r>
    </w:p>
    <w:p w:rsidR="00241DC3" w:rsidRPr="008216BD" w:rsidRDefault="00241DC3" w:rsidP="00815F6E">
      <w:pPr>
        <w:spacing w:line="360" w:lineRule="auto"/>
        <w:rPr>
          <w:sz w:val="21"/>
          <w:szCs w:val="21"/>
        </w:rPr>
      </w:pPr>
    </w:p>
    <w:p w:rsidR="00241DC3" w:rsidRPr="008216BD" w:rsidRDefault="00241DC3" w:rsidP="00815F6E">
      <w:pPr>
        <w:spacing w:line="360" w:lineRule="auto"/>
        <w:rPr>
          <w:sz w:val="21"/>
          <w:szCs w:val="21"/>
        </w:rPr>
      </w:pPr>
      <w:r w:rsidRPr="008216BD">
        <w:rPr>
          <w:rFonts w:cs="Relevant"/>
          <w:color w:val="000000"/>
          <w:sz w:val="21"/>
          <w:szCs w:val="21"/>
        </w:rPr>
        <w:t>Abs. 1 regelt den Grundsatz des Entsorgungsmonopols und der Ent</w:t>
      </w:r>
      <w:r w:rsidRPr="008216BD">
        <w:rPr>
          <w:rFonts w:cs="Relevant"/>
          <w:color w:val="000000"/>
          <w:sz w:val="21"/>
          <w:szCs w:val="21"/>
        </w:rPr>
        <w:softHyphen/>
        <w:t>sorgungspflicht der Gemeinden für Siedlungsabfälle. Ausnahmen beste</w:t>
      </w:r>
      <w:r w:rsidRPr="008216BD">
        <w:rPr>
          <w:rFonts w:cs="Relevant"/>
          <w:color w:val="000000"/>
          <w:sz w:val="21"/>
          <w:szCs w:val="21"/>
        </w:rPr>
        <w:softHyphen/>
        <w:t>hen bei bestimmten Siedlungsabfällen, die vom Inhaber entsorgt bzw. von Dritten zurückgenommen werden müssen (z. B. Batterien nach Anhang 2.15 Ziff. 5 der Chemikalien-Risikoreduktions-Verordnung, SR 814.81</w:t>
      </w:r>
      <w:r w:rsidR="00CB3B79">
        <w:rPr>
          <w:rFonts w:cs="Relevant"/>
          <w:color w:val="000000"/>
          <w:sz w:val="21"/>
          <w:szCs w:val="21"/>
        </w:rPr>
        <w:t xml:space="preserve"> [abgekürzt </w:t>
      </w:r>
      <w:proofErr w:type="spellStart"/>
      <w:r w:rsidR="00CB3B79">
        <w:rPr>
          <w:rFonts w:cs="Relevant"/>
          <w:color w:val="000000"/>
          <w:sz w:val="21"/>
          <w:szCs w:val="21"/>
        </w:rPr>
        <w:t>ChemRRV</w:t>
      </w:r>
      <w:proofErr w:type="spellEnd"/>
      <w:r w:rsidR="00CB3B79">
        <w:rPr>
          <w:rFonts w:cs="Relevant"/>
          <w:color w:val="000000"/>
          <w:sz w:val="21"/>
          <w:szCs w:val="21"/>
        </w:rPr>
        <w:t>]</w:t>
      </w:r>
      <w:r w:rsidRPr="008216BD">
        <w:rPr>
          <w:rFonts w:cs="Relevant"/>
          <w:color w:val="000000"/>
          <w:sz w:val="21"/>
          <w:szCs w:val="21"/>
        </w:rPr>
        <w:t xml:space="preserve">; elektrische und elektronische Geräte nach Art. 4 </w:t>
      </w:r>
      <w:r w:rsidR="001B2F9C" w:rsidRPr="008216BD">
        <w:rPr>
          <w:rFonts w:cs="Relevant"/>
          <w:color w:val="000000"/>
          <w:sz w:val="21"/>
          <w:szCs w:val="21"/>
        </w:rPr>
        <w:t>der Verordnung über die Rückgabe, die Rücknahme und die Entsorgung elektrischer und elektronischer Geräte, SR 814.620</w:t>
      </w:r>
      <w:r w:rsidR="00486DB7">
        <w:rPr>
          <w:rFonts w:cs="Relevant"/>
          <w:color w:val="000000"/>
          <w:sz w:val="21"/>
          <w:szCs w:val="21"/>
        </w:rPr>
        <w:t>; abgekürzt VREG</w:t>
      </w:r>
      <w:r w:rsidR="00B87829">
        <w:rPr>
          <w:rFonts w:cs="Relevant"/>
          <w:color w:val="000000"/>
          <w:sz w:val="21"/>
          <w:szCs w:val="21"/>
        </w:rPr>
        <w:t>).</w:t>
      </w:r>
      <w:r w:rsidR="00B87829">
        <w:rPr>
          <w:rStyle w:val="Funotenzeichen"/>
          <w:rFonts w:cs="Relevant"/>
          <w:color w:val="000000"/>
          <w:szCs w:val="21"/>
        </w:rPr>
        <w:footnoteReference w:id="1"/>
      </w:r>
    </w:p>
    <w:p w:rsidR="00B87829" w:rsidRDefault="00B87829" w:rsidP="00815F6E">
      <w:pPr>
        <w:spacing w:line="360" w:lineRule="auto"/>
        <w:rPr>
          <w:b/>
          <w:sz w:val="21"/>
          <w:szCs w:val="21"/>
        </w:rPr>
      </w:pPr>
    </w:p>
    <w:p w:rsidR="001A2101" w:rsidRPr="008216BD" w:rsidRDefault="001A2101" w:rsidP="00815F6E">
      <w:pPr>
        <w:spacing w:line="360" w:lineRule="auto"/>
        <w:rPr>
          <w:b/>
          <w:sz w:val="21"/>
          <w:szCs w:val="21"/>
        </w:rPr>
      </w:pPr>
      <w:r w:rsidRPr="008216BD">
        <w:rPr>
          <w:b/>
          <w:sz w:val="21"/>
          <w:szCs w:val="21"/>
        </w:rPr>
        <w:t>Abs. 2</w:t>
      </w:r>
    </w:p>
    <w:p w:rsidR="00915397" w:rsidRPr="008216BD" w:rsidRDefault="00915397" w:rsidP="00815F6E">
      <w:pPr>
        <w:spacing w:line="360" w:lineRule="auto"/>
        <w:rPr>
          <w:sz w:val="21"/>
          <w:szCs w:val="21"/>
        </w:rPr>
      </w:pPr>
      <w:r w:rsidRPr="008216BD">
        <w:rPr>
          <w:sz w:val="21"/>
          <w:szCs w:val="21"/>
        </w:rPr>
        <w:t xml:space="preserve">Dieses Musterreglement sieht </w:t>
      </w:r>
      <w:r w:rsidR="00F539F9">
        <w:rPr>
          <w:sz w:val="21"/>
          <w:szCs w:val="21"/>
        </w:rPr>
        <w:t xml:space="preserve">zwar </w:t>
      </w:r>
      <w:r w:rsidRPr="008216BD">
        <w:rPr>
          <w:sz w:val="21"/>
          <w:szCs w:val="21"/>
        </w:rPr>
        <w:t xml:space="preserve">vor, dass das zuständige Exekutivorgan, in der Regel der Gemeinderat, </w:t>
      </w:r>
      <w:r w:rsidR="00931E28" w:rsidRPr="008216BD">
        <w:rPr>
          <w:sz w:val="21"/>
          <w:szCs w:val="21"/>
        </w:rPr>
        <w:t>Detailbestimmungen der Abfallentsorgung in einer Abfallverordnung regelt (vgl. dazu die nachfolgenden Bemerkungen zu Art. 9).</w:t>
      </w:r>
      <w:r w:rsidRPr="008216BD">
        <w:rPr>
          <w:sz w:val="21"/>
          <w:szCs w:val="21"/>
        </w:rPr>
        <w:t xml:space="preserve"> </w:t>
      </w:r>
      <w:r w:rsidR="00F539F9">
        <w:rPr>
          <w:sz w:val="21"/>
          <w:szCs w:val="21"/>
        </w:rPr>
        <w:t xml:space="preserve">Der Entscheid, ob eine Abfallverordnung überhaupt nötig ist, </w:t>
      </w:r>
      <w:r w:rsidR="000C5A79">
        <w:rPr>
          <w:sz w:val="21"/>
          <w:szCs w:val="21"/>
        </w:rPr>
        <w:t>liegt</w:t>
      </w:r>
      <w:r w:rsidR="00F539F9">
        <w:rPr>
          <w:sz w:val="21"/>
          <w:szCs w:val="21"/>
        </w:rPr>
        <w:t xml:space="preserve"> allerdings </w:t>
      </w:r>
      <w:r w:rsidR="000C5A79">
        <w:rPr>
          <w:sz w:val="21"/>
          <w:szCs w:val="21"/>
        </w:rPr>
        <w:t>im Ermessen des</w:t>
      </w:r>
      <w:r w:rsidR="00F539F9">
        <w:rPr>
          <w:sz w:val="21"/>
          <w:szCs w:val="21"/>
        </w:rPr>
        <w:t xml:space="preserve"> zuständigen Exekutivorgan</w:t>
      </w:r>
      <w:r w:rsidR="000C5A79">
        <w:rPr>
          <w:sz w:val="21"/>
          <w:szCs w:val="21"/>
        </w:rPr>
        <w:t>s.</w:t>
      </w:r>
      <w:r w:rsidR="00F539F9">
        <w:rPr>
          <w:sz w:val="21"/>
          <w:szCs w:val="21"/>
        </w:rPr>
        <w:t xml:space="preserve"> </w:t>
      </w:r>
    </w:p>
    <w:p w:rsidR="001228E6" w:rsidRDefault="001228E6" w:rsidP="00815F6E">
      <w:pPr>
        <w:spacing w:line="360" w:lineRule="auto"/>
        <w:rPr>
          <w:sz w:val="21"/>
          <w:szCs w:val="21"/>
          <w:highlight w:val="yellow"/>
        </w:rPr>
      </w:pPr>
    </w:p>
    <w:p w:rsidR="001A2101" w:rsidRPr="008216BD" w:rsidRDefault="001A2101" w:rsidP="00815F6E">
      <w:pPr>
        <w:spacing w:line="360" w:lineRule="auto"/>
        <w:rPr>
          <w:b/>
          <w:sz w:val="21"/>
          <w:szCs w:val="21"/>
        </w:rPr>
      </w:pPr>
      <w:r w:rsidRPr="008216BD">
        <w:rPr>
          <w:b/>
          <w:sz w:val="21"/>
          <w:szCs w:val="21"/>
        </w:rPr>
        <w:t>Abs. 3</w:t>
      </w:r>
      <w:r w:rsidR="007947D1" w:rsidRPr="008216BD">
        <w:rPr>
          <w:b/>
          <w:sz w:val="21"/>
          <w:szCs w:val="21"/>
        </w:rPr>
        <w:t xml:space="preserve"> und 4</w:t>
      </w:r>
    </w:p>
    <w:p w:rsidR="001A2101" w:rsidRPr="008216BD" w:rsidRDefault="005D439F" w:rsidP="00815F6E">
      <w:pPr>
        <w:spacing w:line="360" w:lineRule="auto"/>
        <w:rPr>
          <w:sz w:val="21"/>
          <w:szCs w:val="21"/>
        </w:rPr>
      </w:pPr>
      <w:r w:rsidRPr="008216BD">
        <w:rPr>
          <w:sz w:val="21"/>
          <w:szCs w:val="21"/>
        </w:rPr>
        <w:t xml:space="preserve">In </w:t>
      </w:r>
      <w:r w:rsidR="001A2101" w:rsidRPr="008216BD">
        <w:rPr>
          <w:sz w:val="21"/>
          <w:szCs w:val="21"/>
        </w:rPr>
        <w:t xml:space="preserve">Art. </w:t>
      </w:r>
      <w:r w:rsidRPr="008216BD">
        <w:rPr>
          <w:sz w:val="21"/>
          <w:szCs w:val="21"/>
        </w:rPr>
        <w:t xml:space="preserve">7 Abs. 1 EG-USG ist vorgesehen, dass die politische Gemeinde für die Erfüllung ihrer Aufgaben, also auch für die Entsorgung von Siedlungsabfällen, öffentlich-rechtliche Körperschaften und Anstalten sowie Private beiziehen kann. Es können auch einzelne Aufgaben, zum Beispiel der Sammeldienst für Abfälle, ganz oder teilweise an Dritte übertragen werden. </w:t>
      </w:r>
    </w:p>
    <w:p w:rsidR="00815F6E" w:rsidRPr="008216BD" w:rsidRDefault="00815F6E" w:rsidP="00815F6E">
      <w:pPr>
        <w:pStyle w:val="NurText"/>
      </w:pPr>
    </w:p>
    <w:p w:rsidR="007F7CF6" w:rsidRPr="008216BD" w:rsidRDefault="007F7CF6" w:rsidP="00815F6E">
      <w:pPr>
        <w:spacing w:line="360" w:lineRule="auto"/>
        <w:rPr>
          <w:sz w:val="21"/>
          <w:szCs w:val="21"/>
        </w:rPr>
      </w:pPr>
      <w:r w:rsidRPr="008216BD">
        <w:rPr>
          <w:sz w:val="21"/>
          <w:szCs w:val="21"/>
        </w:rPr>
        <w:t xml:space="preserve">Bei der </w:t>
      </w:r>
      <w:r w:rsidRPr="008216BD">
        <w:rPr>
          <w:i/>
          <w:sz w:val="21"/>
          <w:szCs w:val="21"/>
        </w:rPr>
        <w:t>Übertragung</w:t>
      </w:r>
      <w:r w:rsidRPr="008216BD">
        <w:rPr>
          <w:sz w:val="21"/>
          <w:szCs w:val="21"/>
        </w:rPr>
        <w:t xml:space="preserve"> von Aufgaben an Dritte erhalten diese je nach Art der übertragenen Aufgaben u.U. auch hoheitliche Befugnisse. Müssen Verfügungen erlassen werden, ergehen diese nicht im Namen der politischen Gemeinde, sondern im eigenen Namen des Dritten, wel</w:t>
      </w:r>
      <w:r w:rsidRPr="008216BD">
        <w:rPr>
          <w:sz w:val="21"/>
          <w:szCs w:val="21"/>
        </w:rPr>
        <w:softHyphen/>
        <w:t xml:space="preserve">chem die Aufgaben </w:t>
      </w:r>
      <w:r w:rsidRPr="008216BD">
        <w:rPr>
          <w:sz w:val="21"/>
          <w:szCs w:val="21"/>
        </w:rPr>
        <w:lastRenderedPageBreak/>
        <w:t>übertragen wurden. Werden Dritte von der Gemeinde für die Aufgabener</w:t>
      </w:r>
      <w:r w:rsidRPr="008216BD">
        <w:rPr>
          <w:sz w:val="21"/>
          <w:szCs w:val="21"/>
        </w:rPr>
        <w:softHyphen/>
        <w:t xml:space="preserve">füllung lediglich </w:t>
      </w:r>
      <w:r w:rsidRPr="008216BD">
        <w:rPr>
          <w:i/>
          <w:sz w:val="21"/>
          <w:szCs w:val="21"/>
        </w:rPr>
        <w:t>beigezogen</w:t>
      </w:r>
      <w:r w:rsidRPr="008216BD">
        <w:rPr>
          <w:sz w:val="21"/>
          <w:szCs w:val="21"/>
        </w:rPr>
        <w:t>, handeln sie als Organe der Gemeinde. Allfällige Verfügungen müssen deshalb von der Gemeinde selbst oder in deren Namen ausgehen.</w:t>
      </w:r>
    </w:p>
    <w:p w:rsidR="007F7CF6" w:rsidRDefault="007F7CF6" w:rsidP="00815F6E">
      <w:pPr>
        <w:spacing w:line="360" w:lineRule="auto"/>
        <w:rPr>
          <w:sz w:val="21"/>
          <w:szCs w:val="21"/>
        </w:rPr>
      </w:pPr>
    </w:p>
    <w:p w:rsidR="0070021B" w:rsidRDefault="0070021B" w:rsidP="0070021B">
      <w:pPr>
        <w:pStyle w:val="NurText"/>
        <w:spacing w:line="360" w:lineRule="auto"/>
        <w:rPr>
          <w:rFonts w:ascii="Arial" w:hAnsi="Arial" w:cs="Arial"/>
        </w:rPr>
      </w:pPr>
      <w:r w:rsidRPr="0070021B">
        <w:rPr>
          <w:rFonts w:ascii="Arial" w:hAnsi="Arial" w:cs="Arial"/>
        </w:rPr>
        <w:t xml:space="preserve">Falls </w:t>
      </w:r>
      <w:r>
        <w:rPr>
          <w:rFonts w:ascii="Arial" w:hAnsi="Arial" w:cs="Arial"/>
        </w:rPr>
        <w:t xml:space="preserve">die Gemeinde Entsorgungsdienstleistungen an einen privaten Dienstleister überträgt, ist das Recht zur Entsorgung über eine Konzession zu vergeben. In diesem Zusammenhang kann auf den </w:t>
      </w:r>
    </w:p>
    <w:p w:rsidR="0070021B" w:rsidRDefault="00F139E1" w:rsidP="0070021B">
      <w:pPr>
        <w:pStyle w:val="NurText"/>
        <w:spacing w:line="360" w:lineRule="auto"/>
        <w:rPr>
          <w:rFonts w:ascii="Arial" w:hAnsi="Arial" w:cs="Arial"/>
        </w:rPr>
      </w:pPr>
      <w:hyperlink r:id="rId9" w:anchor="Konzessionsvertrag" w:history="1">
        <w:r w:rsidR="0070021B" w:rsidRPr="0070021B">
          <w:rPr>
            <w:rStyle w:val="Hyperlink"/>
            <w:rFonts w:ascii="Arial" w:hAnsi="Arial" w:cs="Arial"/>
          </w:rPr>
          <w:t>Musterkonzessionsvertra</w:t>
        </w:r>
        <w:r w:rsidR="0070021B">
          <w:rPr>
            <w:rStyle w:val="Hyperlink"/>
            <w:rFonts w:ascii="Arial" w:hAnsi="Arial" w:cs="Arial"/>
          </w:rPr>
          <w:t>g private Dienstleister</w:t>
        </w:r>
      </w:hyperlink>
      <w:r w:rsidR="0070021B">
        <w:rPr>
          <w:rFonts w:ascii="Arial" w:hAnsi="Arial" w:cs="Arial"/>
        </w:rPr>
        <w:t xml:space="preserve"> </w:t>
      </w:r>
      <w:r w:rsidR="00274156">
        <w:rPr>
          <w:rFonts w:ascii="Arial" w:hAnsi="Arial" w:cs="Arial"/>
        </w:rPr>
        <w:t xml:space="preserve">vom November 2018 </w:t>
      </w:r>
      <w:r w:rsidR="0070021B">
        <w:rPr>
          <w:rFonts w:ascii="Arial" w:hAnsi="Arial" w:cs="Arial"/>
        </w:rPr>
        <w:t xml:space="preserve">hingewiesen werden, welcher von einer durch das BAFU ins Leben gerufenen Arbeitsgruppe erarbeitet wurde. </w:t>
      </w:r>
    </w:p>
    <w:p w:rsidR="0070021B" w:rsidRPr="0070021B" w:rsidRDefault="0070021B" w:rsidP="0070021B">
      <w:pPr>
        <w:pStyle w:val="NurText"/>
      </w:pPr>
    </w:p>
    <w:p w:rsidR="007F7CF6" w:rsidRPr="008216BD" w:rsidRDefault="007F7CF6" w:rsidP="00815F6E">
      <w:pPr>
        <w:spacing w:line="360" w:lineRule="auto"/>
        <w:rPr>
          <w:sz w:val="21"/>
          <w:szCs w:val="21"/>
        </w:rPr>
      </w:pPr>
      <w:r w:rsidRPr="008216BD">
        <w:rPr>
          <w:sz w:val="21"/>
          <w:szCs w:val="21"/>
        </w:rPr>
        <w:t>Die Frage, ob hoheitliche Befugnisse übertragen werden, ist auch im Hinblick auf die Rechte der Bürgerschaft von Bedeutung. Die Übertragung hoheitlicher Befugnisse stellt einen Akt der Rechtsetzung dar, welcher dem fakultativen Referendum unterliegt (vgl. Art. 3 Abs. 1 und Art. 125 f. GG). Die Mitgliedschaft bei einem Gemeindeverband unterliegt dem obligatorischen Referendum, ebenso bei Ge</w:t>
      </w:r>
      <w:r w:rsidRPr="008216BD">
        <w:rPr>
          <w:sz w:val="21"/>
          <w:szCs w:val="21"/>
        </w:rPr>
        <w:softHyphen/>
        <w:t>meinden mit Bürgerversammlung die Mitgliedschaft bei Zweckverbänden (vgl. Art. 22 Bst. e GG). Diese Befugnisse der Bürgerschaft werden durch Art. 7 EG-USG nicht aufgehoben. Dasselbe gilt für die Bestimmungen des Gemeinde</w:t>
      </w:r>
      <w:r w:rsidRPr="008216BD">
        <w:rPr>
          <w:sz w:val="21"/>
          <w:szCs w:val="21"/>
        </w:rPr>
        <w:softHyphen/>
        <w:t>geset</w:t>
      </w:r>
      <w:r w:rsidRPr="008216BD">
        <w:rPr>
          <w:sz w:val="21"/>
          <w:szCs w:val="21"/>
        </w:rPr>
        <w:softHyphen/>
        <w:t>zes betreffend die Übertragung öffentlicher Aufga</w:t>
      </w:r>
      <w:r w:rsidRPr="008216BD">
        <w:rPr>
          <w:sz w:val="21"/>
          <w:szCs w:val="21"/>
        </w:rPr>
        <w:softHyphen/>
        <w:t xml:space="preserve">ben und hoheitlicher Befugnisse (Art. 126 Abs. 2 und 3 GG) und die Zusammenarbeit mit anderen Gemeinwesen (Art. 134 ff. GG). </w:t>
      </w:r>
    </w:p>
    <w:p w:rsidR="00A43151" w:rsidRPr="008216BD" w:rsidRDefault="00A43151" w:rsidP="00815F6E">
      <w:pPr>
        <w:spacing w:line="360" w:lineRule="auto"/>
        <w:rPr>
          <w:sz w:val="21"/>
          <w:szCs w:val="21"/>
        </w:rPr>
      </w:pPr>
    </w:p>
    <w:p w:rsidR="001A2101" w:rsidRPr="008216BD" w:rsidRDefault="007947D1" w:rsidP="00815F6E">
      <w:pPr>
        <w:spacing w:line="360" w:lineRule="auto"/>
        <w:rPr>
          <w:b/>
          <w:sz w:val="21"/>
          <w:szCs w:val="21"/>
        </w:rPr>
      </w:pPr>
      <w:r w:rsidRPr="008216BD">
        <w:rPr>
          <w:b/>
          <w:sz w:val="21"/>
          <w:szCs w:val="21"/>
        </w:rPr>
        <w:t>Abs. 5</w:t>
      </w:r>
    </w:p>
    <w:p w:rsidR="004D0461" w:rsidRPr="008216BD" w:rsidRDefault="004D0461" w:rsidP="00815F6E">
      <w:pPr>
        <w:spacing w:line="360" w:lineRule="auto"/>
        <w:rPr>
          <w:sz w:val="21"/>
          <w:szCs w:val="21"/>
        </w:rPr>
      </w:pPr>
      <w:r w:rsidRPr="008216BD">
        <w:rPr>
          <w:sz w:val="21"/>
          <w:szCs w:val="21"/>
        </w:rPr>
        <w:t xml:space="preserve">Eine Gemeinde kann auch weiterhin – sofern sie das will – Abfälle, die mit Bezug auf Inhaltsstoffe und Mengenverhältnisse mit Abfällen aus Haushalten vergleichbar sind, von Unternehmen mit 250 oder mehr Vollzeitstellen entsorgen. Dies setzt allerdings voraus, dass dafür eine Grundlage </w:t>
      </w:r>
      <w:r w:rsidR="003529E1" w:rsidRPr="008216BD">
        <w:rPr>
          <w:sz w:val="21"/>
          <w:szCs w:val="21"/>
        </w:rPr>
        <w:t>im Abfallreglement</w:t>
      </w:r>
      <w:r w:rsidRPr="008216BD">
        <w:rPr>
          <w:sz w:val="21"/>
          <w:szCs w:val="21"/>
        </w:rPr>
        <w:t xml:space="preserve"> und ein öffentliches Interesse vorhanden sind. Die Gemeinde tritt in einem solchen Fall wie ein privates Entsorgungsunternehmen auf, weshalb sie und das betreffende Unternehmen sämtliche relevanten Punkte, einschliesslich der Abgeltung für die Entsorgungsleistung, vertraglich regeln müssen. Die Abgeltung der Leistung </w:t>
      </w:r>
      <w:r w:rsidR="001D39C5">
        <w:rPr>
          <w:sz w:val="21"/>
          <w:szCs w:val="21"/>
        </w:rPr>
        <w:t>darf</w:t>
      </w:r>
      <w:r w:rsidRPr="008216BD">
        <w:rPr>
          <w:sz w:val="21"/>
          <w:szCs w:val="21"/>
        </w:rPr>
        <w:t xml:space="preserve"> somit nicht in Form von Gebühren erfolgen. Eine systematische Quersubventionierung aus dem Monopol- in den Wettbewerbsbereich ist nicht zulässig. Die Gemeinde hat den Grundsatz der Wettbewerbsneutralität</w:t>
      </w:r>
      <w:r w:rsidR="003E2BAC">
        <w:rPr>
          <w:sz w:val="21"/>
          <w:szCs w:val="21"/>
        </w:rPr>
        <w:t xml:space="preserve"> und der Rechtsgleichheit</w:t>
      </w:r>
      <w:r w:rsidRPr="008216BD">
        <w:rPr>
          <w:sz w:val="21"/>
          <w:szCs w:val="21"/>
        </w:rPr>
        <w:t xml:space="preserve"> gegenüber den privaten Entsorgern zu beachten.</w:t>
      </w:r>
    </w:p>
    <w:p w:rsidR="008348FA" w:rsidRDefault="008348FA" w:rsidP="008348FA">
      <w:pPr>
        <w:pStyle w:val="NurText"/>
        <w:rPr>
          <w:lang w:val="de-DE"/>
        </w:rPr>
      </w:pPr>
    </w:p>
    <w:p w:rsidR="003E2BAC" w:rsidRPr="008348FA" w:rsidRDefault="003E2BAC" w:rsidP="008348FA">
      <w:pPr>
        <w:pStyle w:val="NurText"/>
        <w:rPr>
          <w:lang w:val="de-DE"/>
        </w:rPr>
      </w:pPr>
    </w:p>
    <w:p w:rsidR="007947D1" w:rsidRPr="008F789F" w:rsidRDefault="008F789F" w:rsidP="008F789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spacing w:line="288" w:lineRule="exact"/>
        <w:rPr>
          <w:rFonts w:cs="Arial"/>
          <w:b/>
          <w:sz w:val="21"/>
          <w:szCs w:val="21"/>
          <w:lang w:val="de-DE"/>
        </w:rPr>
      </w:pPr>
      <w:r w:rsidRPr="008F789F">
        <w:rPr>
          <w:rFonts w:cs="Arial"/>
          <w:b/>
          <w:sz w:val="21"/>
          <w:szCs w:val="21"/>
          <w:lang w:val="de-DE"/>
        </w:rPr>
        <w:t xml:space="preserve">Zu Art. </w:t>
      </w:r>
      <w:r>
        <w:rPr>
          <w:rFonts w:cs="Arial"/>
          <w:b/>
          <w:sz w:val="21"/>
          <w:szCs w:val="21"/>
          <w:lang w:val="de-DE"/>
        </w:rPr>
        <w:t>3</w:t>
      </w:r>
    </w:p>
    <w:p w:rsidR="00CD25E7" w:rsidRPr="00241DC3" w:rsidRDefault="00CD25E7">
      <w:pPr>
        <w:tabs>
          <w:tab w:val="decimal" w:pos="1134"/>
        </w:tabs>
        <w:rPr>
          <w:rFonts w:cs="Arial"/>
          <w:sz w:val="21"/>
          <w:szCs w:val="21"/>
        </w:rPr>
      </w:pPr>
    </w:p>
    <w:p w:rsidR="008348FA" w:rsidRDefault="008348FA" w:rsidP="00815F6E">
      <w:pPr>
        <w:spacing w:line="360" w:lineRule="auto"/>
        <w:rPr>
          <w:sz w:val="21"/>
          <w:szCs w:val="21"/>
        </w:rPr>
      </w:pPr>
      <w:r w:rsidRPr="008216BD">
        <w:rPr>
          <w:sz w:val="21"/>
          <w:szCs w:val="21"/>
        </w:rPr>
        <w:t>Seit dem 1. Januar 2019 gelten Abfälle mit vergleichbarer Zusam</w:t>
      </w:r>
      <w:r w:rsidRPr="008216BD">
        <w:rPr>
          <w:sz w:val="21"/>
          <w:szCs w:val="21"/>
        </w:rPr>
        <w:softHyphen/>
        <w:t xml:space="preserve">mensetzung von Unternehmen mit 250 oder mehr </w:t>
      </w:r>
      <w:r w:rsidR="00284483" w:rsidRPr="008216BD">
        <w:rPr>
          <w:sz w:val="21"/>
          <w:szCs w:val="21"/>
        </w:rPr>
        <w:t xml:space="preserve">Vollzeitstellen nicht mehr als </w:t>
      </w:r>
      <w:r w:rsidRPr="008216BD">
        <w:rPr>
          <w:sz w:val="21"/>
          <w:szCs w:val="21"/>
        </w:rPr>
        <w:t>Siedlungsabfälle (Art. 3 Bst. a und b i. V. mit Art. 49 Abs. 1 VVEA). Diese Teilliberalisierung hat zur Folge, dass solche Abfälle von Unternehmen auf eigene Rechnung entsorgt werden müssen (Art. 31</w:t>
      </w:r>
      <w:r w:rsidRPr="008216BD">
        <w:rPr>
          <w:i/>
          <w:iCs/>
          <w:sz w:val="21"/>
          <w:szCs w:val="21"/>
        </w:rPr>
        <w:t xml:space="preserve">c </w:t>
      </w:r>
      <w:r w:rsidRPr="008216BD">
        <w:rPr>
          <w:sz w:val="21"/>
          <w:szCs w:val="21"/>
        </w:rPr>
        <w:t xml:space="preserve">und Art. 32 USG). Erläuterungen zur Definition Siedlungsabfälle sind </w:t>
      </w:r>
      <w:r w:rsidR="00731AB3" w:rsidRPr="008216BD">
        <w:rPr>
          <w:sz w:val="21"/>
          <w:szCs w:val="21"/>
        </w:rPr>
        <w:t xml:space="preserve">im </w:t>
      </w:r>
      <w:hyperlink r:id="rId10" w:history="1">
        <w:r w:rsidR="00731AB3" w:rsidRPr="008216BD">
          <w:rPr>
            <w:rStyle w:val="Hyperlink"/>
            <w:sz w:val="21"/>
            <w:szCs w:val="21"/>
          </w:rPr>
          <w:t xml:space="preserve">Merkblatt AFU </w:t>
        </w:r>
        <w:r w:rsidR="00284483" w:rsidRPr="008216BD">
          <w:rPr>
            <w:rStyle w:val="Hyperlink"/>
            <w:sz w:val="21"/>
            <w:szCs w:val="21"/>
          </w:rPr>
          <w:t>212 "Abgrenzung Siedlungsabfälle – übrige Abfälle"</w:t>
        </w:r>
      </w:hyperlink>
      <w:r w:rsidR="00284483" w:rsidRPr="008216BD">
        <w:rPr>
          <w:sz w:val="21"/>
          <w:szCs w:val="21"/>
        </w:rPr>
        <w:t xml:space="preserve"> zu finden</w:t>
      </w:r>
      <w:r w:rsidRPr="008216BD">
        <w:rPr>
          <w:sz w:val="21"/>
          <w:szCs w:val="21"/>
        </w:rPr>
        <w:t>.</w:t>
      </w:r>
    </w:p>
    <w:p w:rsidR="00DA4A9A" w:rsidRDefault="00DA4A9A" w:rsidP="00A331B8">
      <w:pPr>
        <w:pStyle w:val="NurText"/>
        <w:rPr>
          <w:rFonts w:ascii="Arial" w:hAnsi="Arial" w:cs="Arial"/>
        </w:rPr>
      </w:pPr>
    </w:p>
    <w:p w:rsidR="00A57C30" w:rsidRDefault="00DA4A9A" w:rsidP="00A57C30">
      <w:pPr>
        <w:autoSpaceDE w:val="0"/>
        <w:autoSpaceDN w:val="0"/>
        <w:adjustRightInd w:val="0"/>
        <w:spacing w:line="360" w:lineRule="auto"/>
        <w:rPr>
          <w:rFonts w:eastAsiaTheme="minorEastAsia" w:cs="Arial"/>
          <w:sz w:val="21"/>
          <w:szCs w:val="21"/>
        </w:rPr>
      </w:pPr>
      <w:r w:rsidRPr="00DA4A9A">
        <w:t>Zu den Siedlungsabfällen</w:t>
      </w:r>
      <w:r>
        <w:t xml:space="preserve"> gehören auch Sonderabfälle, die in Haushalten anfallen (z.B. Batterien, Speiseöl, Motorenöl, Altmedikamente)</w:t>
      </w:r>
      <w:r w:rsidR="001C04AC">
        <w:t xml:space="preserve">. </w:t>
      </w:r>
      <w:r w:rsidR="00A57C30" w:rsidRPr="00ED627D">
        <w:rPr>
          <w:rFonts w:eastAsiaTheme="minorEastAsia" w:cs="Arial"/>
          <w:sz w:val="21"/>
          <w:szCs w:val="21"/>
        </w:rPr>
        <w:t>Sonderabfälle aus Unternehmen mit weniger als 250 Vollzeitstellen sind ebenfalls Siedlungsabfälle,</w:t>
      </w:r>
      <w:r w:rsidR="00A57C30">
        <w:rPr>
          <w:rFonts w:eastAsiaTheme="minorEastAsia" w:cs="Arial"/>
          <w:sz w:val="21"/>
          <w:szCs w:val="21"/>
        </w:rPr>
        <w:t xml:space="preserve"> </w:t>
      </w:r>
      <w:r w:rsidR="00A57C30" w:rsidRPr="00ED627D">
        <w:rPr>
          <w:rFonts w:eastAsiaTheme="minorEastAsia" w:cs="Arial"/>
          <w:sz w:val="21"/>
          <w:szCs w:val="21"/>
        </w:rPr>
        <w:t>wenn sie von den Inhaltstoffen und den Mengenverhältnissen her mit denjenigen aus</w:t>
      </w:r>
      <w:r w:rsidR="00A57C30">
        <w:rPr>
          <w:rFonts w:eastAsiaTheme="minorEastAsia" w:cs="Arial"/>
          <w:sz w:val="21"/>
          <w:szCs w:val="21"/>
        </w:rPr>
        <w:t xml:space="preserve"> </w:t>
      </w:r>
      <w:r w:rsidR="00A57C30" w:rsidRPr="00ED627D">
        <w:rPr>
          <w:rFonts w:eastAsiaTheme="minorEastAsia" w:cs="Arial"/>
          <w:sz w:val="21"/>
          <w:szCs w:val="21"/>
        </w:rPr>
        <w:t xml:space="preserve">Haushalten vergleichbar sind </w:t>
      </w:r>
      <w:r w:rsidR="00A57C30">
        <w:rPr>
          <w:rFonts w:eastAsiaTheme="minorEastAsia" w:cs="Arial"/>
          <w:sz w:val="21"/>
          <w:szCs w:val="21"/>
        </w:rPr>
        <w:t xml:space="preserve">(z.B. Batterien, Medikamente, Pestizide) </w:t>
      </w:r>
      <w:r w:rsidR="00A57C30" w:rsidRPr="00ED627D">
        <w:rPr>
          <w:rFonts w:eastAsiaTheme="minorEastAsia" w:cs="Arial"/>
          <w:sz w:val="21"/>
          <w:szCs w:val="21"/>
        </w:rPr>
        <w:t>und nicht der wirtschaftlichen Kerntätigkeit der Unternehmen</w:t>
      </w:r>
      <w:r w:rsidR="00A57C30">
        <w:rPr>
          <w:rFonts w:eastAsiaTheme="minorEastAsia" w:cs="Arial"/>
          <w:sz w:val="21"/>
          <w:szCs w:val="21"/>
        </w:rPr>
        <w:t xml:space="preserve"> </w:t>
      </w:r>
      <w:r w:rsidR="00A57C30" w:rsidRPr="00ED627D">
        <w:rPr>
          <w:rFonts w:eastAsiaTheme="minorEastAsia" w:cs="Arial"/>
          <w:sz w:val="21"/>
          <w:szCs w:val="21"/>
        </w:rPr>
        <w:t>entspringen (nicht betriebsspezifische Sonderabfälle). Das Gemeinwesen hat jedoch keine</w:t>
      </w:r>
      <w:r w:rsidR="00A57C30">
        <w:rPr>
          <w:rFonts w:eastAsiaTheme="minorEastAsia" w:cs="Arial"/>
          <w:sz w:val="21"/>
          <w:szCs w:val="21"/>
        </w:rPr>
        <w:t xml:space="preserve"> </w:t>
      </w:r>
      <w:r w:rsidR="00A57C30" w:rsidRPr="00ED627D">
        <w:rPr>
          <w:rFonts w:eastAsiaTheme="minorEastAsia" w:cs="Arial"/>
          <w:sz w:val="21"/>
          <w:szCs w:val="21"/>
        </w:rPr>
        <w:t>Pflicht, für die Entsorgung von nicht betriebsspezifischen Sonderabfällen aus Unternehmen</w:t>
      </w:r>
      <w:r w:rsidR="00A57C30">
        <w:rPr>
          <w:rFonts w:eastAsiaTheme="minorEastAsia" w:cs="Arial"/>
          <w:sz w:val="21"/>
          <w:szCs w:val="21"/>
        </w:rPr>
        <w:t xml:space="preserve"> </w:t>
      </w:r>
      <w:r w:rsidR="00A57C30" w:rsidRPr="00ED627D">
        <w:rPr>
          <w:rFonts w:eastAsiaTheme="minorEastAsia" w:cs="Arial"/>
          <w:sz w:val="21"/>
          <w:szCs w:val="21"/>
        </w:rPr>
        <w:t>zu sorgen, wenn das Unternehmen mindestens 10 Vollzeitstellen aufweist oder mehr als 20</w:t>
      </w:r>
      <w:r w:rsidR="00A57C30">
        <w:rPr>
          <w:rFonts w:eastAsiaTheme="minorEastAsia" w:cs="Arial"/>
          <w:sz w:val="21"/>
          <w:szCs w:val="21"/>
        </w:rPr>
        <w:t xml:space="preserve"> </w:t>
      </w:r>
      <w:r w:rsidR="00A57C30" w:rsidRPr="00ED627D">
        <w:rPr>
          <w:rFonts w:eastAsiaTheme="minorEastAsia" w:cs="Arial"/>
          <w:sz w:val="21"/>
          <w:szCs w:val="21"/>
        </w:rPr>
        <w:t>kg</w:t>
      </w:r>
      <w:r w:rsidR="00A57C30">
        <w:rPr>
          <w:rFonts w:eastAsiaTheme="minorEastAsia" w:cs="Arial"/>
          <w:sz w:val="21"/>
          <w:szCs w:val="21"/>
        </w:rPr>
        <w:t xml:space="preserve"> </w:t>
      </w:r>
      <w:r w:rsidR="00A57C30" w:rsidRPr="00ED627D">
        <w:rPr>
          <w:rFonts w:eastAsiaTheme="minorEastAsia" w:cs="Arial"/>
          <w:sz w:val="21"/>
          <w:szCs w:val="21"/>
        </w:rPr>
        <w:t xml:space="preserve">pro Anlieferung dem Gemeinwesen übergeben werden. </w:t>
      </w:r>
    </w:p>
    <w:p w:rsidR="007A5DDE" w:rsidRPr="007A5DDE" w:rsidRDefault="007A5DDE" w:rsidP="007A5DDE">
      <w:pPr>
        <w:pStyle w:val="NurText"/>
      </w:pPr>
    </w:p>
    <w:p w:rsidR="007A5DDE" w:rsidRPr="008F789F" w:rsidRDefault="007A5DDE" w:rsidP="007A5DD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spacing w:line="288" w:lineRule="exact"/>
        <w:rPr>
          <w:rFonts w:cs="Arial"/>
          <w:b/>
          <w:sz w:val="21"/>
          <w:szCs w:val="21"/>
          <w:lang w:val="de-DE"/>
        </w:rPr>
      </w:pPr>
      <w:r w:rsidRPr="008F789F">
        <w:rPr>
          <w:rFonts w:cs="Arial"/>
          <w:b/>
          <w:sz w:val="21"/>
          <w:szCs w:val="21"/>
          <w:lang w:val="de-DE"/>
        </w:rPr>
        <w:t xml:space="preserve">Zu Art. </w:t>
      </w:r>
      <w:r>
        <w:rPr>
          <w:rFonts w:cs="Arial"/>
          <w:b/>
          <w:sz w:val="21"/>
          <w:szCs w:val="21"/>
          <w:lang w:val="de-DE"/>
        </w:rPr>
        <w:t>4</w:t>
      </w:r>
    </w:p>
    <w:p w:rsidR="007A5DDE" w:rsidRPr="007A5DDE" w:rsidRDefault="007A5DDE" w:rsidP="007A5DDE">
      <w:pPr>
        <w:spacing w:line="360" w:lineRule="auto"/>
        <w:rPr>
          <w:sz w:val="21"/>
          <w:szCs w:val="21"/>
        </w:rPr>
      </w:pPr>
    </w:p>
    <w:p w:rsidR="007A5DDE" w:rsidRPr="007A5DDE" w:rsidRDefault="007A5DDE" w:rsidP="007A5DDE">
      <w:pPr>
        <w:spacing w:line="360" w:lineRule="auto"/>
        <w:rPr>
          <w:sz w:val="21"/>
          <w:szCs w:val="21"/>
        </w:rPr>
      </w:pPr>
      <w:r w:rsidRPr="007A5DDE">
        <w:rPr>
          <w:sz w:val="21"/>
          <w:szCs w:val="21"/>
        </w:rPr>
        <w:t xml:space="preserve">Im Zusammenhang </w:t>
      </w:r>
      <w:r>
        <w:rPr>
          <w:sz w:val="21"/>
          <w:szCs w:val="21"/>
        </w:rPr>
        <w:t xml:space="preserve">mit der Bereitstellung der Siedlungsabfälle </w:t>
      </w:r>
      <w:r w:rsidR="007D0728">
        <w:rPr>
          <w:sz w:val="21"/>
          <w:szCs w:val="21"/>
        </w:rPr>
        <w:t xml:space="preserve">enthält Art. 4 Begriffsumschreibungen. Diese Definitionen sorgen insbesondere dafür, dass die umschriebenen Begriffe im ganzen Erlass einheitlich verwendet werden. </w:t>
      </w:r>
    </w:p>
    <w:p w:rsidR="00B062FE" w:rsidRDefault="00B062FE" w:rsidP="00B062FE">
      <w:pPr>
        <w:pStyle w:val="NurText"/>
      </w:pPr>
    </w:p>
    <w:p w:rsidR="008216BD" w:rsidRPr="008216BD" w:rsidRDefault="008216BD" w:rsidP="008216BD">
      <w:pPr>
        <w:pStyle w:val="NurText"/>
      </w:pPr>
    </w:p>
    <w:p w:rsidR="009E49A6" w:rsidRPr="008216BD" w:rsidRDefault="008216BD" w:rsidP="008216B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tabs>
          <w:tab w:val="decimal" w:pos="1134"/>
        </w:tabs>
        <w:spacing w:line="360" w:lineRule="auto"/>
        <w:rPr>
          <w:rFonts w:cs="Arial"/>
          <w:b/>
          <w:sz w:val="21"/>
          <w:szCs w:val="21"/>
        </w:rPr>
      </w:pPr>
      <w:r w:rsidRPr="008216BD">
        <w:rPr>
          <w:rFonts w:cs="Arial"/>
          <w:b/>
          <w:sz w:val="21"/>
          <w:szCs w:val="21"/>
        </w:rPr>
        <w:t>Zu Art. 5</w:t>
      </w:r>
    </w:p>
    <w:p w:rsidR="009E49A6" w:rsidRDefault="009E49A6">
      <w:pPr>
        <w:tabs>
          <w:tab w:val="decimal" w:pos="1134"/>
        </w:tabs>
        <w:rPr>
          <w:rFonts w:cs="Arial"/>
          <w:sz w:val="21"/>
          <w:szCs w:val="21"/>
        </w:rPr>
      </w:pPr>
    </w:p>
    <w:p w:rsidR="008216BD" w:rsidRPr="008216BD" w:rsidRDefault="008216BD" w:rsidP="00186F53">
      <w:pPr>
        <w:spacing w:line="360" w:lineRule="auto"/>
        <w:rPr>
          <w:rFonts w:cs="Arial"/>
          <w:b/>
          <w:sz w:val="21"/>
          <w:szCs w:val="21"/>
        </w:rPr>
      </w:pPr>
      <w:r w:rsidRPr="008216BD">
        <w:rPr>
          <w:rFonts w:cs="Arial"/>
          <w:b/>
          <w:sz w:val="21"/>
          <w:szCs w:val="21"/>
        </w:rPr>
        <w:t>Abs. 1</w:t>
      </w:r>
    </w:p>
    <w:p w:rsidR="008216BD" w:rsidRDefault="008216BD" w:rsidP="008216BD">
      <w:pPr>
        <w:pStyle w:val="NurText"/>
        <w:spacing w:line="360" w:lineRule="auto"/>
        <w:rPr>
          <w:rFonts w:ascii="Arial" w:hAnsi="Arial" w:cs="Arial"/>
          <w:color w:val="000000"/>
        </w:rPr>
      </w:pPr>
      <w:r w:rsidRPr="008216BD">
        <w:rPr>
          <w:rFonts w:ascii="Arial" w:hAnsi="Arial" w:cs="Arial"/>
          <w:color w:val="000000"/>
        </w:rPr>
        <w:t>Bezüglich der Entsorgung von Sonderabfällen aus Unter</w:t>
      </w:r>
      <w:r w:rsidRPr="008216BD">
        <w:rPr>
          <w:rFonts w:ascii="Arial" w:hAnsi="Arial" w:cs="Arial"/>
          <w:color w:val="000000"/>
        </w:rPr>
        <w:softHyphen/>
        <w:t>nehmen ist das Gemeinwesen nur für die Entsorgung kleiner Mengen (max. 20 kg pro Anlieferung) von nicht betriebsspezifischen Sonderabfäl</w:t>
      </w:r>
      <w:r w:rsidRPr="008216BD">
        <w:rPr>
          <w:rFonts w:ascii="Arial" w:hAnsi="Arial" w:cs="Arial"/>
          <w:color w:val="000000"/>
        </w:rPr>
        <w:softHyphen/>
        <w:t>len aus Unternehmen mit weniger als 10 Vollzeitstellen verpflichtet (Art. 13 Abs. 2 Bst. b VVEA).</w:t>
      </w:r>
      <w:r w:rsidR="00B87829">
        <w:rPr>
          <w:rStyle w:val="Funotenzeichen"/>
          <w:rFonts w:ascii="Arial" w:hAnsi="Arial" w:cs="Arial"/>
          <w:color w:val="000000"/>
        </w:rPr>
        <w:footnoteReference w:id="2"/>
      </w:r>
      <w:r w:rsidRPr="008216BD">
        <w:rPr>
          <w:rFonts w:ascii="Arial" w:hAnsi="Arial" w:cs="Arial"/>
          <w:color w:val="000000"/>
        </w:rPr>
        <w:t xml:space="preserve"> </w:t>
      </w:r>
    </w:p>
    <w:p w:rsidR="00B87829" w:rsidRDefault="00B87829" w:rsidP="008216BD">
      <w:pPr>
        <w:pStyle w:val="NurText"/>
        <w:spacing w:line="360" w:lineRule="auto"/>
        <w:rPr>
          <w:rFonts w:ascii="Arial" w:hAnsi="Arial" w:cs="Arial"/>
        </w:rPr>
      </w:pPr>
    </w:p>
    <w:p w:rsidR="00186F53" w:rsidRPr="00186F53" w:rsidRDefault="00186F53" w:rsidP="008216BD">
      <w:pPr>
        <w:pStyle w:val="NurText"/>
        <w:spacing w:line="360" w:lineRule="auto"/>
        <w:rPr>
          <w:rFonts w:ascii="Arial" w:hAnsi="Arial" w:cs="Arial"/>
          <w:b/>
        </w:rPr>
      </w:pPr>
      <w:r w:rsidRPr="00186F53">
        <w:rPr>
          <w:rFonts w:ascii="Arial" w:hAnsi="Arial" w:cs="Arial"/>
          <w:b/>
        </w:rPr>
        <w:t>Abs. 3 und 4</w:t>
      </w:r>
    </w:p>
    <w:p w:rsidR="00186F53" w:rsidRPr="00186F53" w:rsidRDefault="00186F53" w:rsidP="00186F53">
      <w:pPr>
        <w:spacing w:line="360" w:lineRule="auto"/>
        <w:rPr>
          <w:rFonts w:cs="Arial"/>
          <w:sz w:val="21"/>
          <w:szCs w:val="21"/>
        </w:rPr>
      </w:pPr>
      <w:r w:rsidRPr="00186F53">
        <w:rPr>
          <w:sz w:val="21"/>
          <w:szCs w:val="21"/>
        </w:rPr>
        <w:t>Art. 13 Absatz 3 VVEA enthält die Anforderungen an die Entsorgung von Siedlungsabfällen. Alle verwertbaren Anteile von Siedlungsabfällen sind getrennt zu sammeln und stofflich zu verwerten, so weit, wie dies möglich und sinnvoll ist. Die explizite Nennung von Grün</w:t>
      </w:r>
      <w:r w:rsidRPr="00186F53">
        <w:rPr>
          <w:sz w:val="21"/>
          <w:szCs w:val="21"/>
        </w:rPr>
        <w:softHyphen/>
        <w:t>abfällen (</w:t>
      </w:r>
      <w:proofErr w:type="spellStart"/>
      <w:r w:rsidRPr="00186F53">
        <w:rPr>
          <w:sz w:val="21"/>
          <w:szCs w:val="21"/>
        </w:rPr>
        <w:t>Grüngut</w:t>
      </w:r>
      <w:proofErr w:type="spellEnd"/>
      <w:r w:rsidRPr="00186F53">
        <w:rPr>
          <w:sz w:val="21"/>
          <w:szCs w:val="21"/>
        </w:rPr>
        <w:t>) stellt</w:t>
      </w:r>
      <w:r w:rsidR="00D76D29">
        <w:rPr>
          <w:sz w:val="21"/>
          <w:szCs w:val="21"/>
        </w:rPr>
        <w:t xml:space="preserve"> eine Neuerung in der VVEA dar.</w:t>
      </w:r>
      <w:r w:rsidR="00D76D29">
        <w:rPr>
          <w:rStyle w:val="Funotenzeichen"/>
          <w:szCs w:val="21"/>
        </w:rPr>
        <w:footnoteReference w:id="3"/>
      </w:r>
      <w:r w:rsidR="00D76D29">
        <w:rPr>
          <w:sz w:val="21"/>
          <w:szCs w:val="21"/>
        </w:rPr>
        <w:t xml:space="preserve"> </w:t>
      </w:r>
      <w:r w:rsidRPr="00186F53">
        <w:rPr>
          <w:sz w:val="21"/>
          <w:szCs w:val="21"/>
        </w:rPr>
        <w:t>Ebenso ermöglicht diese Bestimmung den Gemeinden weitere Abfälle, wie z. B. Kunststoff</w:t>
      </w:r>
      <w:r w:rsidRPr="00186F53">
        <w:rPr>
          <w:sz w:val="21"/>
          <w:szCs w:val="21"/>
        </w:rPr>
        <w:softHyphen/>
        <w:t xml:space="preserve">abfälle oder Getränkekartons, zu sammeln. </w:t>
      </w:r>
      <w:r w:rsidR="001C7030">
        <w:rPr>
          <w:sz w:val="21"/>
          <w:szCs w:val="21"/>
        </w:rPr>
        <w:t>D</w:t>
      </w:r>
      <w:r w:rsidRPr="00186F53">
        <w:rPr>
          <w:sz w:val="21"/>
          <w:szCs w:val="21"/>
        </w:rPr>
        <w:t>ie Auflistung der Abfallkategorien in Art. 13 Absatz 1 VVEA ist nicht abschliessend und kann auch andere Stoffe und Materialien umfassen, soweit deren Samm</w:t>
      </w:r>
      <w:r w:rsidRPr="00186F53">
        <w:rPr>
          <w:sz w:val="21"/>
          <w:szCs w:val="21"/>
        </w:rPr>
        <w:softHyphen/>
        <w:t>lung und Verwertung möglich und sinnvoll ist.</w:t>
      </w:r>
    </w:p>
    <w:p w:rsidR="008216BD" w:rsidRDefault="008216BD" w:rsidP="008216BD">
      <w:pPr>
        <w:pStyle w:val="NurText"/>
        <w:rPr>
          <w:rFonts w:ascii="Arial" w:hAnsi="Arial" w:cs="Arial"/>
        </w:rPr>
      </w:pPr>
    </w:p>
    <w:p w:rsidR="000D25B4" w:rsidRPr="000D25B4" w:rsidRDefault="000D25B4" w:rsidP="000D25B4">
      <w:pPr>
        <w:pStyle w:val="NurText"/>
        <w:spacing w:line="360" w:lineRule="auto"/>
        <w:rPr>
          <w:rFonts w:ascii="Arial" w:hAnsi="Arial" w:cs="Arial"/>
          <w:b/>
        </w:rPr>
      </w:pPr>
      <w:r w:rsidRPr="000D25B4">
        <w:rPr>
          <w:rFonts w:ascii="Arial" w:hAnsi="Arial" w:cs="Arial"/>
          <w:b/>
        </w:rPr>
        <w:t>Abs. 5</w:t>
      </w:r>
    </w:p>
    <w:p w:rsidR="000D25B4" w:rsidRDefault="000D25B4" w:rsidP="000D25B4">
      <w:pPr>
        <w:pStyle w:val="NurText"/>
        <w:spacing w:line="360" w:lineRule="auto"/>
        <w:rPr>
          <w:rFonts w:ascii="Arial" w:hAnsi="Arial" w:cs="Arial"/>
        </w:rPr>
      </w:pPr>
      <w:r>
        <w:rPr>
          <w:rFonts w:ascii="Arial" w:hAnsi="Arial" w:cs="Arial"/>
        </w:rPr>
        <w:t xml:space="preserve">Nach Art. 46 Abs. 1 EG-USG sammelt die politische Gemeinde Kleinmengen von Sonder- und Giftabfällen aus Produkten des Kleinverkaufs. </w:t>
      </w:r>
    </w:p>
    <w:p w:rsidR="00273654" w:rsidRDefault="00273654" w:rsidP="000D25B4">
      <w:pPr>
        <w:pStyle w:val="NurText"/>
        <w:spacing w:line="360" w:lineRule="auto"/>
        <w:rPr>
          <w:rFonts w:ascii="Arial" w:hAnsi="Arial" w:cs="Arial"/>
        </w:rPr>
      </w:pPr>
    </w:p>
    <w:p w:rsidR="00726A38" w:rsidRPr="00A331B8" w:rsidRDefault="00A331B8" w:rsidP="00A331B8">
      <w:pPr>
        <w:spacing w:line="360" w:lineRule="auto"/>
        <w:rPr>
          <w:b/>
          <w:sz w:val="21"/>
          <w:szCs w:val="21"/>
        </w:rPr>
      </w:pPr>
      <w:r w:rsidRPr="00A331B8">
        <w:rPr>
          <w:b/>
          <w:sz w:val="21"/>
          <w:szCs w:val="21"/>
        </w:rPr>
        <w:t>Abs. 7</w:t>
      </w:r>
    </w:p>
    <w:p w:rsidR="004E31F6" w:rsidRPr="004E31F6" w:rsidRDefault="00A331B8" w:rsidP="004E31F6">
      <w:pPr>
        <w:spacing w:line="360" w:lineRule="auto"/>
        <w:rPr>
          <w:sz w:val="21"/>
          <w:szCs w:val="21"/>
        </w:rPr>
      </w:pPr>
      <w:r w:rsidRPr="00A331B8">
        <w:rPr>
          <w:sz w:val="21"/>
          <w:szCs w:val="21"/>
        </w:rPr>
        <w:t xml:space="preserve">Zu den Aufgaben der Gemeinde gehört auch die Information der Bevölkerung betreffend die Abfallbewirtschaftung. </w:t>
      </w:r>
      <w:r w:rsidR="004E31F6" w:rsidRPr="004E31F6">
        <w:rPr>
          <w:rFonts w:cs="Relevant"/>
          <w:color w:val="000000"/>
          <w:sz w:val="21"/>
          <w:szCs w:val="21"/>
        </w:rPr>
        <w:t>Empfohlen wird eine regelmässige Information zu den angebotenen Entsor</w:t>
      </w:r>
      <w:r w:rsidR="004E31F6" w:rsidRPr="004E31F6">
        <w:rPr>
          <w:rFonts w:cs="Relevant"/>
          <w:color w:val="000000"/>
          <w:sz w:val="21"/>
          <w:szCs w:val="21"/>
        </w:rPr>
        <w:softHyphen/>
        <w:t>gungsdienstleistungen (z. B. Sammeltouren, Sammelstellen) und ander</w:t>
      </w:r>
      <w:r w:rsidR="00EC06E9">
        <w:rPr>
          <w:rFonts w:cs="Relevant"/>
          <w:color w:val="000000"/>
          <w:sz w:val="21"/>
          <w:szCs w:val="21"/>
        </w:rPr>
        <w:t>en Entsorgungsmöglichkeiten (z.</w:t>
      </w:r>
      <w:r w:rsidR="004E31F6" w:rsidRPr="004E31F6">
        <w:rPr>
          <w:rFonts w:cs="Relevant"/>
          <w:color w:val="000000"/>
          <w:sz w:val="21"/>
          <w:szCs w:val="21"/>
        </w:rPr>
        <w:t>B. Rücknahmepflicht im Handel), zu den anfal</w:t>
      </w:r>
      <w:r w:rsidR="004E31F6" w:rsidRPr="004E31F6">
        <w:rPr>
          <w:rFonts w:cs="Relevant"/>
          <w:color w:val="000000"/>
          <w:sz w:val="21"/>
          <w:szCs w:val="21"/>
        </w:rPr>
        <w:softHyphen/>
        <w:t>lenden Abfallmengen und Entsorgungskosten, aber auch zu den ökologischen Vor- und Nachteilen der Separatsammlungen und der illegalen Entsorgung. Die Sensibilisierung von Wohnbevölkerung, Betrieben und Schulen sowie die Aufklärung neu Zugezogener (z. B. kulturspezifische Informationen) sind Vor</w:t>
      </w:r>
      <w:r w:rsidR="004E31F6" w:rsidRPr="004E31F6">
        <w:rPr>
          <w:rFonts w:cs="Relevant"/>
          <w:color w:val="000000"/>
          <w:sz w:val="21"/>
          <w:szCs w:val="21"/>
        </w:rPr>
        <w:softHyphen/>
        <w:t>aussetzungen dafür, dass sich die Qualität der Abfallentsorgung beibehalten oder erhöhen lässt und Abfallmengen längerfristig gesenkt werden können.</w:t>
      </w:r>
      <w:r w:rsidR="004E31F6">
        <w:rPr>
          <w:rStyle w:val="Funotenzeichen"/>
          <w:rFonts w:cs="Relevant"/>
          <w:color w:val="000000"/>
          <w:szCs w:val="21"/>
        </w:rPr>
        <w:footnoteReference w:id="4"/>
      </w:r>
    </w:p>
    <w:p w:rsidR="00A331B8" w:rsidRDefault="00A331B8" w:rsidP="00A331B8">
      <w:pPr>
        <w:spacing w:line="360" w:lineRule="auto"/>
        <w:rPr>
          <w:sz w:val="21"/>
          <w:szCs w:val="21"/>
        </w:rPr>
      </w:pPr>
      <w:r>
        <w:rPr>
          <w:sz w:val="21"/>
          <w:szCs w:val="21"/>
        </w:rPr>
        <w:t xml:space="preserve">Solche Informationen können beispielsweise in Form eines Abfallkalenders oder eines </w:t>
      </w:r>
      <w:proofErr w:type="gramStart"/>
      <w:r>
        <w:rPr>
          <w:sz w:val="21"/>
          <w:szCs w:val="21"/>
        </w:rPr>
        <w:t>Abfallmerkblattes  erfolgen</w:t>
      </w:r>
      <w:proofErr w:type="gramEnd"/>
      <w:r>
        <w:rPr>
          <w:sz w:val="21"/>
          <w:szCs w:val="21"/>
        </w:rPr>
        <w:t xml:space="preserve"> (vgl. auch Art. 1 Abs. 3 der Muster-Abfallverordnung). </w:t>
      </w:r>
    </w:p>
    <w:p w:rsidR="00A331B8" w:rsidRPr="00A331B8" w:rsidRDefault="00A331B8" w:rsidP="00A331B8">
      <w:pPr>
        <w:pStyle w:val="NurText"/>
      </w:pPr>
    </w:p>
    <w:p w:rsidR="00726A38" w:rsidRPr="008216BD" w:rsidRDefault="00726A38" w:rsidP="00A331B8"/>
    <w:p w:rsidR="00726A38" w:rsidRPr="00726A38" w:rsidRDefault="00726A38" w:rsidP="00726A3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tabs>
          <w:tab w:val="decimal" w:pos="1134"/>
        </w:tabs>
        <w:rPr>
          <w:rFonts w:cs="Arial"/>
          <w:b/>
          <w:sz w:val="21"/>
          <w:szCs w:val="21"/>
        </w:rPr>
      </w:pPr>
      <w:r w:rsidRPr="00726A38">
        <w:rPr>
          <w:rFonts w:cs="Arial"/>
          <w:b/>
          <w:sz w:val="21"/>
          <w:szCs w:val="21"/>
        </w:rPr>
        <w:t>Zu Art. 6</w:t>
      </w:r>
    </w:p>
    <w:p w:rsidR="009E49A6" w:rsidRPr="00726A38" w:rsidRDefault="009E49A6">
      <w:pPr>
        <w:tabs>
          <w:tab w:val="decimal" w:pos="1134"/>
        </w:tabs>
        <w:rPr>
          <w:rFonts w:cs="Arial"/>
          <w:sz w:val="21"/>
          <w:szCs w:val="21"/>
        </w:rPr>
      </w:pPr>
    </w:p>
    <w:p w:rsidR="00726A38" w:rsidRPr="00726A38" w:rsidRDefault="00726A38" w:rsidP="00726A38">
      <w:pPr>
        <w:spacing w:line="360" w:lineRule="auto"/>
        <w:rPr>
          <w:sz w:val="21"/>
          <w:szCs w:val="21"/>
        </w:rPr>
      </w:pPr>
      <w:r w:rsidRPr="00726A38">
        <w:rPr>
          <w:b/>
          <w:sz w:val="21"/>
          <w:szCs w:val="21"/>
        </w:rPr>
        <w:t>Absatz 1</w:t>
      </w:r>
      <w:r w:rsidRPr="00726A38">
        <w:rPr>
          <w:sz w:val="21"/>
          <w:szCs w:val="21"/>
        </w:rPr>
        <w:t xml:space="preserve"> </w:t>
      </w:r>
    </w:p>
    <w:p w:rsidR="00726A38" w:rsidRPr="00726A38" w:rsidRDefault="00726A38" w:rsidP="00726A38">
      <w:pPr>
        <w:spacing w:line="360" w:lineRule="auto"/>
        <w:rPr>
          <w:sz w:val="21"/>
          <w:szCs w:val="21"/>
        </w:rPr>
      </w:pPr>
      <w:r w:rsidRPr="00726A38">
        <w:rPr>
          <w:sz w:val="21"/>
          <w:szCs w:val="21"/>
        </w:rPr>
        <w:t>Diese Bestimmung ermöglicht der Gemeinde, Verträge mit Unternehmen zur Mengenreduktion oder für bestimmte Anforderungen an die Abfälle (z.B. gepresst, tiefer Wassergehalt, keine Glasanteile usw.) abzuschliessen.</w:t>
      </w:r>
    </w:p>
    <w:p w:rsidR="00726A38" w:rsidRPr="00726A38" w:rsidRDefault="00726A38" w:rsidP="00726A38">
      <w:pPr>
        <w:spacing w:line="360" w:lineRule="auto"/>
        <w:rPr>
          <w:sz w:val="21"/>
          <w:szCs w:val="21"/>
        </w:rPr>
      </w:pPr>
    </w:p>
    <w:p w:rsidR="00726A38" w:rsidRPr="00726A38" w:rsidRDefault="00726A38" w:rsidP="00726A38">
      <w:pPr>
        <w:spacing w:line="360" w:lineRule="auto"/>
        <w:rPr>
          <w:b/>
          <w:sz w:val="21"/>
          <w:szCs w:val="21"/>
        </w:rPr>
      </w:pPr>
      <w:r w:rsidRPr="00726A38">
        <w:rPr>
          <w:b/>
          <w:sz w:val="21"/>
          <w:szCs w:val="21"/>
        </w:rPr>
        <w:t>Absatz 2</w:t>
      </w:r>
    </w:p>
    <w:p w:rsidR="00726A38" w:rsidRDefault="00726A38" w:rsidP="00726A38">
      <w:pPr>
        <w:spacing w:line="360" w:lineRule="auto"/>
        <w:rPr>
          <w:sz w:val="21"/>
          <w:szCs w:val="21"/>
        </w:rPr>
      </w:pPr>
      <w:r w:rsidRPr="00726A38">
        <w:rPr>
          <w:sz w:val="21"/>
          <w:szCs w:val="21"/>
        </w:rPr>
        <w:t>Bei der Nutzung von öffentlichem Grund können solche Beschränkungen und weitere Massnahmen (Bsp. Einführen eines Pfandsystems, Einsammeln liegen gelassener Abfälle) einseitig von der Gemeinde angeordnet werden.</w:t>
      </w:r>
    </w:p>
    <w:p w:rsidR="0038145C" w:rsidRPr="0038145C" w:rsidRDefault="0038145C" w:rsidP="0038145C">
      <w:pPr>
        <w:pStyle w:val="NurText"/>
      </w:pPr>
    </w:p>
    <w:p w:rsidR="000D25B4" w:rsidRPr="000D25B4" w:rsidRDefault="000D25B4" w:rsidP="000D25B4">
      <w:pPr>
        <w:pStyle w:val="NurText"/>
      </w:pPr>
    </w:p>
    <w:p w:rsidR="009E49A6" w:rsidRDefault="009E49A6" w:rsidP="003E29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tabs>
          <w:tab w:val="decimal" w:pos="1134"/>
        </w:tabs>
        <w:rPr>
          <w:rFonts w:cs="Arial"/>
          <w:b/>
          <w:sz w:val="21"/>
          <w:szCs w:val="21"/>
        </w:rPr>
      </w:pPr>
      <w:r w:rsidRPr="00241DC3">
        <w:rPr>
          <w:rFonts w:cs="Arial"/>
          <w:b/>
          <w:sz w:val="21"/>
          <w:szCs w:val="21"/>
        </w:rPr>
        <w:t xml:space="preserve">Zu Art. </w:t>
      </w:r>
      <w:r w:rsidR="00726A38">
        <w:rPr>
          <w:rFonts w:cs="Arial"/>
          <w:b/>
          <w:sz w:val="21"/>
          <w:szCs w:val="21"/>
        </w:rPr>
        <w:t>7</w:t>
      </w:r>
    </w:p>
    <w:p w:rsidR="00726A38" w:rsidRPr="00726A38" w:rsidRDefault="00726A38" w:rsidP="00726A38">
      <w:pPr>
        <w:pStyle w:val="NurText"/>
      </w:pPr>
    </w:p>
    <w:p w:rsidR="005A3A99" w:rsidRPr="005A3A99" w:rsidRDefault="005A3A99" w:rsidP="005A3A99">
      <w:pPr>
        <w:spacing w:line="360" w:lineRule="auto"/>
        <w:rPr>
          <w:b/>
          <w:sz w:val="21"/>
          <w:szCs w:val="21"/>
        </w:rPr>
      </w:pPr>
      <w:r w:rsidRPr="005A3A99">
        <w:rPr>
          <w:b/>
          <w:sz w:val="21"/>
          <w:szCs w:val="21"/>
        </w:rPr>
        <w:t xml:space="preserve">Absatz 1 </w:t>
      </w:r>
    </w:p>
    <w:p w:rsidR="005A3A99" w:rsidRDefault="005A3A99" w:rsidP="005A3A99">
      <w:pPr>
        <w:spacing w:line="360" w:lineRule="auto"/>
        <w:rPr>
          <w:sz w:val="21"/>
          <w:szCs w:val="21"/>
        </w:rPr>
      </w:pPr>
      <w:r>
        <w:rPr>
          <w:sz w:val="21"/>
          <w:szCs w:val="21"/>
        </w:rPr>
        <w:t xml:space="preserve">Diese Bestimmung </w:t>
      </w:r>
      <w:r w:rsidRPr="005A3A99">
        <w:rPr>
          <w:sz w:val="21"/>
          <w:szCs w:val="21"/>
        </w:rPr>
        <w:t>verpflichtet die Abfallinhaberinnen und -inhaber, ihre Abfälle den von der Gemeinde angebotenen Sammelstellen oder Abfuhren zu übergeben (Art. 31</w:t>
      </w:r>
      <w:r w:rsidRPr="005A3A99">
        <w:rPr>
          <w:i/>
          <w:iCs/>
          <w:sz w:val="21"/>
          <w:szCs w:val="21"/>
        </w:rPr>
        <w:t xml:space="preserve">b </w:t>
      </w:r>
      <w:r w:rsidRPr="005A3A99">
        <w:rPr>
          <w:sz w:val="21"/>
          <w:szCs w:val="21"/>
        </w:rPr>
        <w:t>Abs. 3 USG).</w:t>
      </w:r>
    </w:p>
    <w:p w:rsidR="005A3A99" w:rsidRPr="005A3A99" w:rsidRDefault="005A3A99" w:rsidP="005A3A99">
      <w:pPr>
        <w:pStyle w:val="NurText"/>
      </w:pPr>
    </w:p>
    <w:p w:rsidR="005A3A99" w:rsidRDefault="005A3A99" w:rsidP="005A3A99">
      <w:pPr>
        <w:spacing w:line="360" w:lineRule="auto"/>
        <w:rPr>
          <w:b/>
          <w:sz w:val="21"/>
          <w:szCs w:val="21"/>
        </w:rPr>
      </w:pPr>
      <w:r w:rsidRPr="005A3A99">
        <w:rPr>
          <w:b/>
          <w:sz w:val="21"/>
          <w:szCs w:val="21"/>
        </w:rPr>
        <w:t xml:space="preserve">Absatz 2 </w:t>
      </w:r>
    </w:p>
    <w:p w:rsidR="005A3A99" w:rsidRPr="0000394F" w:rsidRDefault="005A3A99" w:rsidP="005A3A99">
      <w:pPr>
        <w:spacing w:line="360" w:lineRule="auto"/>
        <w:rPr>
          <w:rFonts w:cs="Arial"/>
          <w:b/>
          <w:sz w:val="21"/>
          <w:szCs w:val="21"/>
        </w:rPr>
      </w:pPr>
      <w:r>
        <w:rPr>
          <w:sz w:val="21"/>
          <w:szCs w:val="21"/>
        </w:rPr>
        <w:t xml:space="preserve">Hier wird </w:t>
      </w:r>
      <w:r w:rsidRPr="005A3A99">
        <w:rPr>
          <w:sz w:val="21"/>
          <w:szCs w:val="21"/>
        </w:rPr>
        <w:t>de</w:t>
      </w:r>
      <w:r>
        <w:rPr>
          <w:sz w:val="21"/>
          <w:szCs w:val="21"/>
        </w:rPr>
        <w:t>r</w:t>
      </w:r>
      <w:r w:rsidRPr="005A3A99">
        <w:rPr>
          <w:sz w:val="21"/>
          <w:szCs w:val="21"/>
        </w:rPr>
        <w:t xml:space="preserve"> Umgang mit haushaltsähnlichen separat gesammelten Abfällen aus Unternehmen</w:t>
      </w:r>
      <w:r>
        <w:rPr>
          <w:sz w:val="21"/>
          <w:szCs w:val="21"/>
        </w:rPr>
        <w:t xml:space="preserve"> geregelt</w:t>
      </w:r>
      <w:r w:rsidRPr="005A3A99">
        <w:rPr>
          <w:sz w:val="21"/>
          <w:szCs w:val="21"/>
        </w:rPr>
        <w:t>, die in anders gearteten Mengenverhältnissen als in Haushalten anfallen und deshalb nicht als Siedlungs</w:t>
      </w:r>
      <w:r w:rsidR="00EF6C94">
        <w:rPr>
          <w:sz w:val="21"/>
          <w:szCs w:val="21"/>
        </w:rPr>
        <w:t>abfälle zu qua</w:t>
      </w:r>
      <w:r w:rsidR="00EF6C94">
        <w:rPr>
          <w:sz w:val="21"/>
          <w:szCs w:val="21"/>
        </w:rPr>
        <w:softHyphen/>
        <w:t>lifizieren sind.</w:t>
      </w:r>
      <w:r w:rsidR="00EF6C94">
        <w:rPr>
          <w:rStyle w:val="Funotenzeichen"/>
          <w:szCs w:val="21"/>
        </w:rPr>
        <w:footnoteReference w:id="5"/>
      </w:r>
    </w:p>
    <w:p w:rsidR="00EF6C94" w:rsidRDefault="00EF6C94" w:rsidP="0000394F">
      <w:pPr>
        <w:spacing w:line="360" w:lineRule="auto"/>
        <w:rPr>
          <w:b/>
          <w:sz w:val="21"/>
          <w:szCs w:val="21"/>
        </w:rPr>
      </w:pPr>
    </w:p>
    <w:p w:rsidR="005A3A99" w:rsidRPr="0000394F" w:rsidRDefault="0000394F" w:rsidP="0000394F">
      <w:pPr>
        <w:spacing w:line="360" w:lineRule="auto"/>
        <w:rPr>
          <w:b/>
          <w:sz w:val="21"/>
          <w:szCs w:val="21"/>
        </w:rPr>
      </w:pPr>
      <w:r w:rsidRPr="0000394F">
        <w:rPr>
          <w:b/>
          <w:sz w:val="21"/>
          <w:szCs w:val="21"/>
        </w:rPr>
        <w:t>Abs. 3</w:t>
      </w:r>
    </w:p>
    <w:p w:rsidR="0000394F" w:rsidRPr="0000394F" w:rsidRDefault="0000394F" w:rsidP="0000394F">
      <w:pPr>
        <w:spacing w:line="360" w:lineRule="auto"/>
        <w:rPr>
          <w:sz w:val="21"/>
          <w:szCs w:val="21"/>
        </w:rPr>
      </w:pPr>
      <w:r w:rsidRPr="0000394F">
        <w:rPr>
          <w:sz w:val="21"/>
          <w:szCs w:val="21"/>
        </w:rPr>
        <w:t>Diese Bestimmung b</w:t>
      </w:r>
      <w:r w:rsidRPr="0000394F">
        <w:rPr>
          <w:rFonts w:cs="Relevant"/>
          <w:color w:val="000000"/>
          <w:sz w:val="21"/>
          <w:szCs w:val="21"/>
        </w:rPr>
        <w:t>ildet die Rechtsgrundlage für die Durchsetzung einer ordentlichen Benutzung der Separatsammelstellen.</w:t>
      </w:r>
      <w:r w:rsidR="00AC7F8E">
        <w:rPr>
          <w:rFonts w:cs="Relevant"/>
          <w:color w:val="000000"/>
          <w:sz w:val="21"/>
          <w:szCs w:val="21"/>
        </w:rPr>
        <w:t xml:space="preserve"> Die Benützungszeiten können beispielsweise in der Abf</w:t>
      </w:r>
      <w:r w:rsidR="00EF6C94">
        <w:rPr>
          <w:rFonts w:cs="Relevant"/>
          <w:color w:val="000000"/>
          <w:sz w:val="21"/>
          <w:szCs w:val="21"/>
        </w:rPr>
        <w:t>allverordnung festgelegt werden (vgl. Art. 2 der Muster-Abfallverordnung).</w:t>
      </w:r>
    </w:p>
    <w:p w:rsidR="005A3A99" w:rsidRPr="0000394F" w:rsidRDefault="005A3A99">
      <w:pPr>
        <w:tabs>
          <w:tab w:val="decimal" w:pos="1134"/>
        </w:tabs>
        <w:rPr>
          <w:rFonts w:cs="Arial"/>
          <w:b/>
          <w:sz w:val="21"/>
          <w:szCs w:val="21"/>
        </w:rPr>
      </w:pPr>
    </w:p>
    <w:p w:rsidR="005A3A99" w:rsidRPr="0000394F" w:rsidRDefault="0000394F" w:rsidP="0000394F">
      <w:pPr>
        <w:spacing w:line="360" w:lineRule="auto"/>
        <w:rPr>
          <w:b/>
          <w:sz w:val="21"/>
          <w:szCs w:val="21"/>
        </w:rPr>
      </w:pPr>
      <w:r w:rsidRPr="0000394F">
        <w:rPr>
          <w:b/>
          <w:sz w:val="21"/>
          <w:szCs w:val="21"/>
        </w:rPr>
        <w:t>Abs. 4</w:t>
      </w:r>
    </w:p>
    <w:p w:rsidR="0000394F" w:rsidRDefault="0000394F" w:rsidP="0000394F">
      <w:pPr>
        <w:spacing w:line="360" w:lineRule="auto"/>
        <w:rPr>
          <w:rFonts w:cs="Relevant"/>
          <w:color w:val="000000"/>
          <w:sz w:val="21"/>
          <w:szCs w:val="21"/>
        </w:rPr>
      </w:pPr>
      <w:r w:rsidRPr="0000394F">
        <w:rPr>
          <w:sz w:val="21"/>
          <w:szCs w:val="21"/>
        </w:rPr>
        <w:t xml:space="preserve">Hier wird der Umgang </w:t>
      </w:r>
      <w:r w:rsidRPr="0000394F">
        <w:rPr>
          <w:rFonts w:cs="Relevant"/>
          <w:color w:val="000000"/>
          <w:sz w:val="21"/>
          <w:szCs w:val="21"/>
        </w:rPr>
        <w:t xml:space="preserve">mit Sonderabfällen aus Haushalten geregelt, ergänzend zu den massgebenden Bestimmungen im USG, </w:t>
      </w:r>
      <w:r w:rsidR="00AE49D8">
        <w:rPr>
          <w:rFonts w:cs="Relevant"/>
          <w:color w:val="000000"/>
          <w:sz w:val="21"/>
          <w:szCs w:val="21"/>
        </w:rPr>
        <w:t xml:space="preserve">in </w:t>
      </w:r>
      <w:r w:rsidRPr="0000394F">
        <w:rPr>
          <w:rFonts w:cs="Relevant"/>
          <w:color w:val="000000"/>
          <w:sz w:val="21"/>
          <w:szCs w:val="21"/>
        </w:rPr>
        <w:t xml:space="preserve">der </w:t>
      </w:r>
      <w:r w:rsidR="00CB3B79">
        <w:rPr>
          <w:rFonts w:cs="Relevant"/>
          <w:color w:val="000000"/>
          <w:sz w:val="21"/>
          <w:szCs w:val="21"/>
        </w:rPr>
        <w:t>Verordnung über den Verkehr mit Abfällen, SR 814.610</w:t>
      </w:r>
      <w:r w:rsidRPr="0000394F">
        <w:rPr>
          <w:rFonts w:cs="Relevant"/>
          <w:color w:val="000000"/>
          <w:sz w:val="21"/>
          <w:szCs w:val="21"/>
        </w:rPr>
        <w:t xml:space="preserve">, </w:t>
      </w:r>
      <w:r w:rsidR="00AE49D8">
        <w:rPr>
          <w:rFonts w:cs="Relevant"/>
          <w:color w:val="000000"/>
          <w:sz w:val="21"/>
          <w:szCs w:val="21"/>
        </w:rPr>
        <w:t xml:space="preserve">in </w:t>
      </w:r>
      <w:r w:rsidRPr="0000394F">
        <w:rPr>
          <w:rFonts w:cs="Relevant"/>
          <w:color w:val="000000"/>
          <w:sz w:val="21"/>
          <w:szCs w:val="21"/>
        </w:rPr>
        <w:t xml:space="preserve">der </w:t>
      </w:r>
      <w:proofErr w:type="spellStart"/>
      <w:r w:rsidRPr="0000394F">
        <w:rPr>
          <w:rFonts w:cs="Relevant"/>
          <w:color w:val="000000"/>
          <w:sz w:val="21"/>
          <w:szCs w:val="21"/>
        </w:rPr>
        <w:t>ChemRRV</w:t>
      </w:r>
      <w:proofErr w:type="spellEnd"/>
      <w:r w:rsidRPr="0000394F">
        <w:rPr>
          <w:rFonts w:cs="Relevant"/>
          <w:color w:val="000000"/>
          <w:sz w:val="21"/>
          <w:szCs w:val="21"/>
        </w:rPr>
        <w:t xml:space="preserve"> </w:t>
      </w:r>
      <w:r w:rsidR="00AE49D8">
        <w:rPr>
          <w:rFonts w:cs="Relevant"/>
          <w:color w:val="000000"/>
          <w:sz w:val="21"/>
          <w:szCs w:val="21"/>
        </w:rPr>
        <w:t>sowie</w:t>
      </w:r>
      <w:r w:rsidRPr="0000394F">
        <w:rPr>
          <w:rFonts w:cs="Relevant"/>
          <w:color w:val="000000"/>
          <w:sz w:val="21"/>
          <w:szCs w:val="21"/>
        </w:rPr>
        <w:t xml:space="preserve"> im EG-USG.</w:t>
      </w:r>
    </w:p>
    <w:p w:rsidR="00EF6C94" w:rsidRPr="00EF6C94" w:rsidRDefault="00EF6C94" w:rsidP="00EF6C94">
      <w:pPr>
        <w:pStyle w:val="NurText"/>
      </w:pPr>
    </w:p>
    <w:p w:rsidR="00CB3B79" w:rsidRDefault="00CB3B79" w:rsidP="00CB3B7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tabs>
          <w:tab w:val="decimal" w:pos="1134"/>
        </w:tabs>
        <w:rPr>
          <w:rFonts w:cs="Arial"/>
          <w:b/>
          <w:sz w:val="21"/>
          <w:szCs w:val="21"/>
        </w:rPr>
      </w:pPr>
      <w:r w:rsidRPr="00241DC3">
        <w:rPr>
          <w:rFonts w:cs="Arial"/>
          <w:b/>
          <w:sz w:val="21"/>
          <w:szCs w:val="21"/>
        </w:rPr>
        <w:t xml:space="preserve">Zu Art. </w:t>
      </w:r>
      <w:r>
        <w:rPr>
          <w:rFonts w:cs="Arial"/>
          <w:b/>
          <w:sz w:val="21"/>
          <w:szCs w:val="21"/>
        </w:rPr>
        <w:t>8</w:t>
      </w:r>
    </w:p>
    <w:p w:rsidR="00B3232A" w:rsidRPr="00241DC3" w:rsidRDefault="00B3232A">
      <w:pPr>
        <w:tabs>
          <w:tab w:val="decimal" w:pos="1134"/>
        </w:tabs>
        <w:rPr>
          <w:rFonts w:cs="Arial"/>
          <w:sz w:val="21"/>
          <w:szCs w:val="21"/>
        </w:rPr>
      </w:pPr>
    </w:p>
    <w:p w:rsidR="00347760" w:rsidRDefault="00347760" w:rsidP="003F5E0F">
      <w:pPr>
        <w:spacing w:line="360" w:lineRule="auto"/>
        <w:rPr>
          <w:sz w:val="21"/>
          <w:szCs w:val="21"/>
        </w:rPr>
      </w:pPr>
      <w:r>
        <w:rPr>
          <w:sz w:val="21"/>
          <w:szCs w:val="21"/>
        </w:rPr>
        <w:t xml:space="preserve">Grundsätzlich ist im kommunalen Recht auf die Wiederholung von Bestimmungen aus dem übergeordneten Recht zu verzichten, insbesondere auch, um Widersprüche zu verhindern, falls das </w:t>
      </w:r>
      <w:r w:rsidR="00D50DBD">
        <w:rPr>
          <w:sz w:val="21"/>
          <w:szCs w:val="21"/>
        </w:rPr>
        <w:t xml:space="preserve">übergeordnete Recht </w:t>
      </w:r>
      <w:r>
        <w:rPr>
          <w:sz w:val="21"/>
          <w:szCs w:val="21"/>
        </w:rPr>
        <w:t>zukünftig ändern sollte.</w:t>
      </w:r>
    </w:p>
    <w:p w:rsidR="00D50DBD" w:rsidRPr="00D50DBD" w:rsidRDefault="00D50DBD" w:rsidP="00D50DBD">
      <w:pPr>
        <w:pStyle w:val="NurText"/>
      </w:pPr>
    </w:p>
    <w:p w:rsidR="00A66142" w:rsidRPr="00A25D8C" w:rsidRDefault="00D50DBD" w:rsidP="00A66142">
      <w:pPr>
        <w:spacing w:line="360" w:lineRule="auto"/>
        <w:rPr>
          <w:sz w:val="21"/>
          <w:szCs w:val="21"/>
        </w:rPr>
      </w:pPr>
      <w:r>
        <w:rPr>
          <w:sz w:val="21"/>
          <w:szCs w:val="21"/>
        </w:rPr>
        <w:t>Im</w:t>
      </w:r>
      <w:r w:rsidR="00A25D8C">
        <w:rPr>
          <w:sz w:val="21"/>
          <w:szCs w:val="21"/>
        </w:rPr>
        <w:t xml:space="preserve"> Umgang mit Abfällen ergeben sich aus dem Bundesrecht</w:t>
      </w:r>
      <w:r>
        <w:rPr>
          <w:sz w:val="21"/>
          <w:szCs w:val="21"/>
        </w:rPr>
        <w:t xml:space="preserve"> verschiedene Verbote</w:t>
      </w:r>
      <w:r w:rsidR="00A25D8C">
        <w:rPr>
          <w:sz w:val="21"/>
          <w:szCs w:val="21"/>
        </w:rPr>
        <w:t>. Diese Verbote werden nun auch im Muster Abfallreglement aufgeführt</w:t>
      </w:r>
      <w:r>
        <w:rPr>
          <w:sz w:val="21"/>
          <w:szCs w:val="21"/>
        </w:rPr>
        <w:t>, in Abweichung zum vorerwähnten Grundsatz</w:t>
      </w:r>
      <w:r w:rsidR="00A25D8C">
        <w:rPr>
          <w:sz w:val="21"/>
          <w:szCs w:val="21"/>
        </w:rPr>
        <w:t xml:space="preserve">. </w:t>
      </w:r>
      <w:r w:rsidR="00A66142">
        <w:rPr>
          <w:sz w:val="21"/>
          <w:szCs w:val="21"/>
        </w:rPr>
        <w:t xml:space="preserve">Dieses Vorgehen dient vor allem der Übersichtlichkeit, sind die Verbote doch in verschiedenen Bundeserlassen verankert. Zudem kann das Aufführen der Verbote im Reglement ein Schritt dazu sein, bei der Bevölkerung eine bessere Beachtung der Vorschriften zu bewirken. Schliesslich ist die Gefahr von Widersprüchen zum Bundesrecht gering, sind doch in absehbarer Zeit keine Änderungen dieser bundesrechtlichen Verbote zu erwarten. Falls darauf verzichtet wird, die Verbote ins Reglement aufzunehmen, empfehlen wir, diese </w:t>
      </w:r>
      <w:r w:rsidR="00FD6729">
        <w:rPr>
          <w:sz w:val="21"/>
          <w:szCs w:val="21"/>
        </w:rPr>
        <w:t xml:space="preserve">in eine Beilage zum Abfallreglement zu integrieren, beispielsweise unter dem Titel "Ausgewählte Vorschriften des übergeordneten Rechts". </w:t>
      </w:r>
    </w:p>
    <w:p w:rsidR="00A66142" w:rsidRDefault="00A66142" w:rsidP="003F5E0F">
      <w:pPr>
        <w:spacing w:line="360" w:lineRule="auto"/>
        <w:rPr>
          <w:sz w:val="21"/>
          <w:szCs w:val="21"/>
        </w:rPr>
      </w:pPr>
    </w:p>
    <w:p w:rsidR="00147960" w:rsidRDefault="00147960" w:rsidP="003F5E0F">
      <w:pPr>
        <w:spacing w:line="360" w:lineRule="auto"/>
        <w:rPr>
          <w:b/>
          <w:sz w:val="21"/>
          <w:szCs w:val="21"/>
        </w:rPr>
      </w:pPr>
      <w:r>
        <w:rPr>
          <w:b/>
          <w:sz w:val="21"/>
          <w:szCs w:val="21"/>
        </w:rPr>
        <w:t>Abs. 1</w:t>
      </w:r>
    </w:p>
    <w:p w:rsidR="00147960" w:rsidRPr="00147960" w:rsidRDefault="00147960" w:rsidP="003F5E0F">
      <w:pPr>
        <w:spacing w:line="360" w:lineRule="auto"/>
        <w:rPr>
          <w:sz w:val="21"/>
          <w:szCs w:val="21"/>
        </w:rPr>
      </w:pPr>
      <w:r w:rsidRPr="00147960">
        <w:rPr>
          <w:sz w:val="21"/>
          <w:szCs w:val="21"/>
        </w:rPr>
        <w:t xml:space="preserve">Das Ablagerungsverbot </w:t>
      </w:r>
      <w:r>
        <w:rPr>
          <w:sz w:val="21"/>
          <w:szCs w:val="21"/>
        </w:rPr>
        <w:t xml:space="preserve">ergibt sich </w:t>
      </w:r>
      <w:r w:rsidR="00382F66">
        <w:rPr>
          <w:sz w:val="21"/>
          <w:szCs w:val="21"/>
        </w:rPr>
        <w:t xml:space="preserve">bereits </w:t>
      </w:r>
      <w:r w:rsidR="00D14108">
        <w:rPr>
          <w:sz w:val="21"/>
          <w:szCs w:val="21"/>
        </w:rPr>
        <w:t>aus Art. 30e Abs. 1 USG. Zudem wird mit</w:t>
      </w:r>
      <w:r w:rsidR="00FD6729">
        <w:rPr>
          <w:sz w:val="21"/>
          <w:szCs w:val="21"/>
        </w:rPr>
        <w:t xml:space="preserve"> dem Hinweis auf das Wegwerfen von Abfällen </w:t>
      </w:r>
      <w:r w:rsidR="00382F66">
        <w:rPr>
          <w:sz w:val="21"/>
          <w:szCs w:val="21"/>
        </w:rPr>
        <w:t>ein</w:t>
      </w:r>
      <w:r w:rsidR="00D14108">
        <w:rPr>
          <w:sz w:val="21"/>
          <w:szCs w:val="21"/>
        </w:rPr>
        <w:t xml:space="preserve"> </w:t>
      </w:r>
      <w:proofErr w:type="spellStart"/>
      <w:r w:rsidR="00D14108">
        <w:rPr>
          <w:sz w:val="21"/>
          <w:szCs w:val="21"/>
        </w:rPr>
        <w:t>Litteringverbot</w:t>
      </w:r>
      <w:proofErr w:type="spellEnd"/>
      <w:r w:rsidR="00D14108">
        <w:rPr>
          <w:sz w:val="21"/>
          <w:szCs w:val="21"/>
        </w:rPr>
        <w:t xml:space="preserve"> statuiert. </w:t>
      </w:r>
    </w:p>
    <w:p w:rsidR="00147960" w:rsidRPr="00147960" w:rsidRDefault="00147960" w:rsidP="00147960">
      <w:pPr>
        <w:pStyle w:val="NurText"/>
      </w:pPr>
    </w:p>
    <w:p w:rsidR="00B3232A" w:rsidRPr="003F5E0F" w:rsidRDefault="008773D5" w:rsidP="003F5E0F">
      <w:pPr>
        <w:spacing w:line="360" w:lineRule="auto"/>
        <w:rPr>
          <w:b/>
          <w:sz w:val="21"/>
          <w:szCs w:val="21"/>
        </w:rPr>
      </w:pPr>
      <w:r w:rsidRPr="003F5E0F">
        <w:rPr>
          <w:b/>
          <w:sz w:val="21"/>
          <w:szCs w:val="21"/>
        </w:rPr>
        <w:t>Abs. 2</w:t>
      </w:r>
    </w:p>
    <w:p w:rsidR="008773D5" w:rsidRDefault="008773D5" w:rsidP="003F5E0F">
      <w:pPr>
        <w:spacing w:line="360" w:lineRule="auto"/>
        <w:rPr>
          <w:sz w:val="21"/>
          <w:szCs w:val="21"/>
        </w:rPr>
      </w:pPr>
      <w:r w:rsidRPr="003F5E0F">
        <w:rPr>
          <w:sz w:val="21"/>
          <w:szCs w:val="21"/>
        </w:rPr>
        <w:t>Diese Bestimmung verbietet, die öffentlichen Abfallkübel zur Entsorgung von allgemeinen Siedlungsabfällen zu nutzen und gewährleistet deren Zweckerfüllung.</w:t>
      </w:r>
    </w:p>
    <w:p w:rsidR="003F5E0F" w:rsidRPr="003F5E0F" w:rsidRDefault="003F5E0F" w:rsidP="003F5E0F">
      <w:pPr>
        <w:pStyle w:val="NurText"/>
      </w:pPr>
    </w:p>
    <w:p w:rsidR="008773D5" w:rsidRPr="003F5E0F" w:rsidRDefault="008773D5" w:rsidP="003F5E0F">
      <w:pPr>
        <w:spacing w:line="360" w:lineRule="auto"/>
        <w:rPr>
          <w:b/>
          <w:bCs/>
          <w:color w:val="000000"/>
          <w:sz w:val="21"/>
          <w:szCs w:val="21"/>
        </w:rPr>
      </w:pPr>
      <w:r w:rsidRPr="003F5E0F">
        <w:rPr>
          <w:b/>
          <w:bCs/>
          <w:color w:val="000000"/>
          <w:sz w:val="21"/>
          <w:szCs w:val="21"/>
        </w:rPr>
        <w:t>Abs</w:t>
      </w:r>
      <w:r w:rsidR="003F5E0F">
        <w:rPr>
          <w:b/>
          <w:bCs/>
          <w:color w:val="000000"/>
          <w:sz w:val="21"/>
          <w:szCs w:val="21"/>
        </w:rPr>
        <w:t>.</w:t>
      </w:r>
      <w:r w:rsidRPr="003F5E0F">
        <w:rPr>
          <w:b/>
          <w:bCs/>
          <w:color w:val="000000"/>
          <w:sz w:val="21"/>
          <w:szCs w:val="21"/>
        </w:rPr>
        <w:t xml:space="preserve"> </w:t>
      </w:r>
      <w:r w:rsidR="003F5E0F" w:rsidRPr="003F5E0F">
        <w:rPr>
          <w:b/>
          <w:bCs/>
          <w:color w:val="000000"/>
          <w:sz w:val="21"/>
          <w:szCs w:val="21"/>
        </w:rPr>
        <w:t>3</w:t>
      </w:r>
      <w:r w:rsidR="00382F66">
        <w:rPr>
          <w:b/>
          <w:bCs/>
          <w:color w:val="000000"/>
          <w:sz w:val="21"/>
          <w:szCs w:val="21"/>
        </w:rPr>
        <w:t xml:space="preserve"> und 4</w:t>
      </w:r>
    </w:p>
    <w:p w:rsidR="008773D5" w:rsidRPr="003F5E0F" w:rsidRDefault="00382F66" w:rsidP="003F5E0F">
      <w:pPr>
        <w:spacing w:line="360" w:lineRule="auto"/>
        <w:rPr>
          <w:color w:val="000000"/>
          <w:sz w:val="21"/>
          <w:szCs w:val="21"/>
        </w:rPr>
      </w:pPr>
      <w:r>
        <w:rPr>
          <w:color w:val="000000"/>
          <w:sz w:val="21"/>
          <w:szCs w:val="21"/>
        </w:rPr>
        <w:t>Das Verbrennungsverbot</w:t>
      </w:r>
      <w:r w:rsidR="008773D5" w:rsidRPr="003F5E0F">
        <w:rPr>
          <w:color w:val="000000"/>
          <w:sz w:val="21"/>
          <w:szCs w:val="21"/>
        </w:rPr>
        <w:t xml:space="preserve"> ergibt sich bereits aus Art. 30c Abs. 2 des USG sowie Art. 26a und 26b der Luftreinhalte-Verordnung (SR 814.318.142.1). </w:t>
      </w:r>
    </w:p>
    <w:p w:rsidR="00B17913" w:rsidRDefault="00B17913" w:rsidP="00B17913">
      <w:pPr>
        <w:pStyle w:val="NurText"/>
      </w:pPr>
    </w:p>
    <w:p w:rsidR="0038145C" w:rsidRDefault="0038145C" w:rsidP="00B17913">
      <w:pPr>
        <w:pStyle w:val="NurText"/>
      </w:pPr>
    </w:p>
    <w:p w:rsidR="0038145C" w:rsidRDefault="0038145C" w:rsidP="00B17913">
      <w:pPr>
        <w:pStyle w:val="NurText"/>
      </w:pPr>
    </w:p>
    <w:p w:rsidR="0038145C" w:rsidRPr="00B17913" w:rsidRDefault="0038145C" w:rsidP="00B17913">
      <w:pPr>
        <w:pStyle w:val="NurText"/>
      </w:pPr>
    </w:p>
    <w:p w:rsidR="003F5E0F" w:rsidRPr="003F5E0F" w:rsidRDefault="008773D5" w:rsidP="003F5E0F">
      <w:pPr>
        <w:spacing w:line="360" w:lineRule="auto"/>
        <w:rPr>
          <w:b/>
          <w:bCs/>
          <w:color w:val="000000"/>
          <w:sz w:val="21"/>
          <w:szCs w:val="21"/>
        </w:rPr>
      </w:pPr>
      <w:r w:rsidRPr="003F5E0F">
        <w:rPr>
          <w:b/>
          <w:bCs/>
          <w:color w:val="000000"/>
          <w:sz w:val="21"/>
          <w:szCs w:val="21"/>
        </w:rPr>
        <w:lastRenderedPageBreak/>
        <w:t>Abs</w:t>
      </w:r>
      <w:r w:rsidR="003F5E0F">
        <w:rPr>
          <w:b/>
          <w:bCs/>
          <w:color w:val="000000"/>
          <w:sz w:val="21"/>
          <w:szCs w:val="21"/>
        </w:rPr>
        <w:t>.</w:t>
      </w:r>
      <w:r w:rsidRPr="003F5E0F">
        <w:rPr>
          <w:b/>
          <w:bCs/>
          <w:color w:val="000000"/>
          <w:sz w:val="21"/>
          <w:szCs w:val="21"/>
        </w:rPr>
        <w:t xml:space="preserve"> </w:t>
      </w:r>
      <w:r w:rsidR="003F5E0F" w:rsidRPr="003F5E0F">
        <w:rPr>
          <w:b/>
          <w:bCs/>
          <w:color w:val="000000"/>
          <w:sz w:val="21"/>
          <w:szCs w:val="21"/>
        </w:rPr>
        <w:t>5</w:t>
      </w:r>
    </w:p>
    <w:p w:rsidR="008773D5" w:rsidRPr="003F5E0F" w:rsidRDefault="003F5E0F" w:rsidP="003F5E0F">
      <w:pPr>
        <w:spacing w:line="360" w:lineRule="auto"/>
        <w:rPr>
          <w:sz w:val="21"/>
          <w:szCs w:val="21"/>
        </w:rPr>
      </w:pPr>
      <w:r w:rsidRPr="003F5E0F">
        <w:rPr>
          <w:color w:val="000000"/>
          <w:sz w:val="21"/>
          <w:szCs w:val="21"/>
        </w:rPr>
        <w:t xml:space="preserve">Diese Bestimmung </w:t>
      </w:r>
      <w:r w:rsidR="00382F66">
        <w:rPr>
          <w:color w:val="000000"/>
          <w:sz w:val="21"/>
          <w:szCs w:val="21"/>
        </w:rPr>
        <w:t>wiederholt</w:t>
      </w:r>
      <w:r w:rsidR="008773D5" w:rsidRPr="003F5E0F">
        <w:rPr>
          <w:color w:val="000000"/>
          <w:sz w:val="21"/>
          <w:szCs w:val="21"/>
        </w:rPr>
        <w:t xml:space="preserve"> das Verbot, Abfälle über das Abwasser zu entsorgen</w:t>
      </w:r>
      <w:r w:rsidR="00382F66">
        <w:rPr>
          <w:color w:val="000000"/>
          <w:sz w:val="21"/>
          <w:szCs w:val="21"/>
        </w:rPr>
        <w:t xml:space="preserve">, welches bereits in </w:t>
      </w:r>
      <w:r w:rsidR="008773D5" w:rsidRPr="003F5E0F">
        <w:rPr>
          <w:color w:val="000000"/>
          <w:sz w:val="21"/>
          <w:szCs w:val="21"/>
        </w:rPr>
        <w:t xml:space="preserve">Art. 10 Bst. a </w:t>
      </w:r>
      <w:r w:rsidRPr="003F5E0F">
        <w:rPr>
          <w:color w:val="000000"/>
          <w:sz w:val="21"/>
          <w:szCs w:val="21"/>
        </w:rPr>
        <w:t>der Gewässerschutz-Verordnung</w:t>
      </w:r>
      <w:r w:rsidR="00382F66">
        <w:rPr>
          <w:color w:val="000000"/>
          <w:sz w:val="21"/>
          <w:szCs w:val="21"/>
        </w:rPr>
        <w:t xml:space="preserve"> (</w:t>
      </w:r>
      <w:r w:rsidRPr="003F5E0F">
        <w:rPr>
          <w:color w:val="000000"/>
          <w:sz w:val="21"/>
          <w:szCs w:val="21"/>
        </w:rPr>
        <w:t>SR 814.201</w:t>
      </w:r>
      <w:r w:rsidR="008773D5" w:rsidRPr="003F5E0F">
        <w:rPr>
          <w:color w:val="000000"/>
          <w:sz w:val="21"/>
          <w:szCs w:val="21"/>
        </w:rPr>
        <w:t>)</w:t>
      </w:r>
      <w:r w:rsidR="00382F66">
        <w:rPr>
          <w:color w:val="000000"/>
          <w:sz w:val="21"/>
          <w:szCs w:val="21"/>
        </w:rPr>
        <w:t xml:space="preserve"> festgehalten ist</w:t>
      </w:r>
      <w:r w:rsidR="008773D5" w:rsidRPr="003F5E0F">
        <w:rPr>
          <w:color w:val="000000"/>
          <w:sz w:val="21"/>
          <w:szCs w:val="21"/>
        </w:rPr>
        <w:t>.</w:t>
      </w:r>
    </w:p>
    <w:p w:rsidR="008773D5" w:rsidRDefault="008773D5" w:rsidP="008773D5">
      <w:pPr>
        <w:pStyle w:val="NurText"/>
      </w:pPr>
    </w:p>
    <w:p w:rsidR="00A53C30" w:rsidRDefault="00A53C30" w:rsidP="008773D5">
      <w:pPr>
        <w:pStyle w:val="NurText"/>
      </w:pPr>
    </w:p>
    <w:p w:rsidR="00A53C30" w:rsidRDefault="00A53C30" w:rsidP="00A53C3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tabs>
          <w:tab w:val="decimal" w:pos="1134"/>
        </w:tabs>
        <w:rPr>
          <w:rFonts w:cs="Arial"/>
          <w:b/>
          <w:sz w:val="21"/>
          <w:szCs w:val="21"/>
        </w:rPr>
      </w:pPr>
      <w:r w:rsidRPr="00241DC3">
        <w:rPr>
          <w:rFonts w:cs="Arial"/>
          <w:b/>
          <w:sz w:val="21"/>
          <w:szCs w:val="21"/>
        </w:rPr>
        <w:t xml:space="preserve">Zu Art. </w:t>
      </w:r>
      <w:r>
        <w:rPr>
          <w:rFonts w:cs="Arial"/>
          <w:b/>
          <w:sz w:val="21"/>
          <w:szCs w:val="21"/>
        </w:rPr>
        <w:t>9</w:t>
      </w:r>
    </w:p>
    <w:p w:rsidR="008773D5" w:rsidRPr="008773D5" w:rsidRDefault="008773D5" w:rsidP="008773D5">
      <w:pPr>
        <w:pStyle w:val="NurText"/>
      </w:pPr>
    </w:p>
    <w:p w:rsidR="00160ABD" w:rsidRDefault="00A53C30" w:rsidP="00A53C30">
      <w:pPr>
        <w:tabs>
          <w:tab w:val="decimal" w:pos="1134"/>
        </w:tabs>
        <w:spacing w:line="360" w:lineRule="auto"/>
        <w:rPr>
          <w:rFonts w:cs="Arial"/>
          <w:sz w:val="21"/>
          <w:szCs w:val="21"/>
        </w:rPr>
      </w:pPr>
      <w:r w:rsidRPr="00A53C30">
        <w:rPr>
          <w:rFonts w:cs="Arial"/>
          <w:sz w:val="21"/>
          <w:szCs w:val="21"/>
        </w:rPr>
        <w:t xml:space="preserve">Aus Art. 2 Abs. 2 </w:t>
      </w:r>
      <w:r>
        <w:rPr>
          <w:rFonts w:cs="Arial"/>
          <w:sz w:val="21"/>
          <w:szCs w:val="21"/>
        </w:rPr>
        <w:t xml:space="preserve">ergibt sich, dass das zuständige Exekutivorgan Detailbestimmungen der Abfallentsorgung in einer Abfallverordnung regelt. </w:t>
      </w:r>
      <w:r w:rsidR="00AC7F8E">
        <w:rPr>
          <w:rFonts w:cs="Arial"/>
          <w:sz w:val="21"/>
          <w:szCs w:val="21"/>
        </w:rPr>
        <w:t xml:space="preserve">Denkbar sind beispielsweise </w:t>
      </w:r>
      <w:proofErr w:type="spellStart"/>
      <w:r w:rsidR="00AC7F8E">
        <w:rPr>
          <w:rFonts w:cs="Arial"/>
          <w:sz w:val="21"/>
          <w:szCs w:val="21"/>
        </w:rPr>
        <w:t>Detailsbestimmungen</w:t>
      </w:r>
      <w:proofErr w:type="spellEnd"/>
      <w:r w:rsidR="00AC7F8E">
        <w:rPr>
          <w:rFonts w:cs="Arial"/>
          <w:sz w:val="21"/>
          <w:szCs w:val="21"/>
        </w:rPr>
        <w:t xml:space="preserve"> über die Organisation des Sammeldienstes, Benützungszeiten der Sammelstellen, </w:t>
      </w:r>
      <w:r w:rsidR="005273CB">
        <w:rPr>
          <w:rFonts w:cs="Arial"/>
          <w:sz w:val="21"/>
          <w:szCs w:val="21"/>
        </w:rPr>
        <w:t>das</w:t>
      </w:r>
      <w:r w:rsidR="00AC7F8E">
        <w:rPr>
          <w:rFonts w:cs="Arial"/>
          <w:sz w:val="21"/>
          <w:szCs w:val="21"/>
        </w:rPr>
        <w:t xml:space="preserve"> Befahr</w:t>
      </w:r>
      <w:r w:rsidR="005273CB">
        <w:rPr>
          <w:rFonts w:cs="Arial"/>
          <w:sz w:val="21"/>
          <w:szCs w:val="21"/>
        </w:rPr>
        <w:t>en</w:t>
      </w:r>
      <w:r w:rsidR="00AC7F8E">
        <w:rPr>
          <w:rFonts w:cs="Arial"/>
          <w:sz w:val="21"/>
          <w:szCs w:val="21"/>
        </w:rPr>
        <w:t xml:space="preserve"> von Strassen und Wegen durch den Sammeldienst sowie die Höhe der Abfallgebühren (vgl. dazu auch die nachfolgenden Bemerkungen zu Art. </w:t>
      </w:r>
      <w:r w:rsidR="005273CB">
        <w:rPr>
          <w:rFonts w:cs="Arial"/>
          <w:sz w:val="21"/>
          <w:szCs w:val="21"/>
        </w:rPr>
        <w:t>23</w:t>
      </w:r>
      <w:r w:rsidR="00AC7F8E">
        <w:rPr>
          <w:rFonts w:cs="Arial"/>
          <w:sz w:val="21"/>
          <w:szCs w:val="21"/>
        </w:rPr>
        <w:t>).</w:t>
      </w:r>
    </w:p>
    <w:p w:rsidR="00B062FE" w:rsidRPr="00542408" w:rsidRDefault="00160ABD" w:rsidP="00160ABD">
      <w:pPr>
        <w:tabs>
          <w:tab w:val="decimal" w:pos="1134"/>
        </w:tabs>
        <w:spacing w:line="360" w:lineRule="auto"/>
        <w:rPr>
          <w:sz w:val="21"/>
          <w:szCs w:val="21"/>
        </w:rPr>
      </w:pPr>
      <w:r w:rsidRPr="00542408">
        <w:rPr>
          <w:rFonts w:cs="Arial"/>
          <w:sz w:val="21"/>
          <w:szCs w:val="21"/>
        </w:rPr>
        <w:t>Zu beachten ist dabei</w:t>
      </w:r>
      <w:r w:rsidR="0011230D" w:rsidRPr="00542408">
        <w:rPr>
          <w:rFonts w:cs="Arial"/>
          <w:sz w:val="21"/>
          <w:szCs w:val="21"/>
        </w:rPr>
        <w:t xml:space="preserve"> allerdings</w:t>
      </w:r>
      <w:r w:rsidRPr="00542408">
        <w:rPr>
          <w:rFonts w:cs="Arial"/>
          <w:sz w:val="21"/>
          <w:szCs w:val="21"/>
        </w:rPr>
        <w:t xml:space="preserve">, dass nur solche Bestimmungen in die Abfallverordnung aufgenommen werden dürfen, die nicht als allgemeinverbindlich gelten. </w:t>
      </w:r>
      <w:r w:rsidR="00B062FE" w:rsidRPr="00542408">
        <w:rPr>
          <w:sz w:val="21"/>
          <w:szCs w:val="21"/>
        </w:rPr>
        <w:t xml:space="preserve">Ein (kommunaler) Rechtssatz ist allgemeinverbindlich, wenn er Auswirkungen auf (nicht individuell bestimmte) Dritte hat. Derartige „Auswirkungen“ liegen vor, wenn natürliche oder juristische Personen zu einem Tun, Unterlassen oder Dulden verpflichtet werden (Hans-Rudolf Arta, Die Zuständigkeitsordnung nach dem </w:t>
      </w:r>
      <w:proofErr w:type="gramStart"/>
      <w:r w:rsidR="00B062FE" w:rsidRPr="00542408">
        <w:rPr>
          <w:sz w:val="21"/>
          <w:szCs w:val="21"/>
        </w:rPr>
        <w:t>st.gallischen</w:t>
      </w:r>
      <w:proofErr w:type="gramEnd"/>
      <w:r w:rsidR="00B062FE" w:rsidRPr="00542408">
        <w:rPr>
          <w:sz w:val="21"/>
          <w:szCs w:val="21"/>
        </w:rPr>
        <w:t xml:space="preserve"> Gemeindegesetz in der politischen Gemeinde mit Bürgerversammlung, </w:t>
      </w:r>
      <w:proofErr w:type="spellStart"/>
      <w:r w:rsidR="00B062FE" w:rsidRPr="00542408">
        <w:rPr>
          <w:sz w:val="21"/>
          <w:szCs w:val="21"/>
        </w:rPr>
        <w:t>Diss</w:t>
      </w:r>
      <w:proofErr w:type="spellEnd"/>
      <w:r w:rsidR="00B062FE" w:rsidRPr="00542408">
        <w:rPr>
          <w:sz w:val="21"/>
          <w:szCs w:val="21"/>
        </w:rPr>
        <w:t>. St.Gallen, 1990, S. 75).</w:t>
      </w:r>
      <w:r w:rsidRPr="00542408">
        <w:rPr>
          <w:sz w:val="21"/>
          <w:szCs w:val="21"/>
        </w:rPr>
        <w:t xml:space="preserve"> </w:t>
      </w:r>
      <w:r w:rsidR="00B062FE" w:rsidRPr="00542408">
        <w:rPr>
          <w:sz w:val="21"/>
          <w:szCs w:val="21"/>
        </w:rPr>
        <w:t>Rechtssätze mit allgemeinverbindlichem Inhalt sind in die Form des rechtsetzenden Reglements zu kleiden (vgl. Art. 3 Abs. 1 GG sowie Hans-Rudolf Arta, a.a.O., S. 82).</w:t>
      </w:r>
      <w:r w:rsidRPr="00542408">
        <w:rPr>
          <w:sz w:val="21"/>
          <w:szCs w:val="21"/>
        </w:rPr>
        <w:t xml:space="preserve"> </w:t>
      </w:r>
      <w:r w:rsidR="00B062FE" w:rsidRPr="00542408">
        <w:rPr>
          <w:sz w:val="21"/>
          <w:szCs w:val="21"/>
        </w:rPr>
        <w:t>Rechtsetzende Reglemente unterstehen dem fakultativen Referendum (vgl. Art. 23 Bst. a GG).</w:t>
      </w:r>
    </w:p>
    <w:p w:rsidR="00CB3B79" w:rsidRPr="0011230D" w:rsidRDefault="00CB3B79">
      <w:pPr>
        <w:tabs>
          <w:tab w:val="decimal" w:pos="1134"/>
        </w:tabs>
        <w:rPr>
          <w:rFonts w:cs="Arial"/>
          <w:b/>
          <w:sz w:val="21"/>
          <w:szCs w:val="21"/>
        </w:rPr>
      </w:pPr>
    </w:p>
    <w:p w:rsidR="00542408" w:rsidRDefault="00542408" w:rsidP="00542408">
      <w:pPr>
        <w:pStyle w:val="NurText"/>
      </w:pPr>
    </w:p>
    <w:p w:rsidR="00542408" w:rsidRDefault="00542408" w:rsidP="0054240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tabs>
          <w:tab w:val="decimal" w:pos="1134"/>
        </w:tabs>
        <w:rPr>
          <w:rFonts w:cs="Arial"/>
          <w:b/>
          <w:sz w:val="21"/>
          <w:szCs w:val="21"/>
        </w:rPr>
      </w:pPr>
      <w:r w:rsidRPr="00241DC3">
        <w:rPr>
          <w:rFonts w:cs="Arial"/>
          <w:b/>
          <w:sz w:val="21"/>
          <w:szCs w:val="21"/>
        </w:rPr>
        <w:t xml:space="preserve">Zu Art. </w:t>
      </w:r>
      <w:r>
        <w:rPr>
          <w:rFonts w:cs="Arial"/>
          <w:b/>
          <w:sz w:val="21"/>
          <w:szCs w:val="21"/>
        </w:rPr>
        <w:t>10</w:t>
      </w:r>
    </w:p>
    <w:p w:rsidR="00542408" w:rsidRDefault="00542408" w:rsidP="00542408">
      <w:pPr>
        <w:pStyle w:val="NurText"/>
      </w:pPr>
    </w:p>
    <w:p w:rsidR="00542408" w:rsidRPr="00542408" w:rsidRDefault="00542408" w:rsidP="00542408">
      <w:pPr>
        <w:spacing w:line="360" w:lineRule="auto"/>
        <w:rPr>
          <w:sz w:val="21"/>
          <w:szCs w:val="21"/>
        </w:rPr>
      </w:pPr>
      <w:r w:rsidRPr="00542408">
        <w:rPr>
          <w:sz w:val="21"/>
          <w:szCs w:val="21"/>
        </w:rPr>
        <w:t xml:space="preserve">Ausgeschlossen werden hier vor allem solche </w:t>
      </w:r>
      <w:r w:rsidRPr="00542408">
        <w:rPr>
          <w:color w:val="000000"/>
          <w:sz w:val="21"/>
          <w:szCs w:val="21"/>
        </w:rPr>
        <w:t xml:space="preserve">Siedlungsabfälle, die vom Inhaber entsorgt bzw. von Dritten zurückgenommen werden müssen (z. B. Batterien nach Anhang 2.15 Ziff. 5 </w:t>
      </w:r>
      <w:proofErr w:type="spellStart"/>
      <w:r w:rsidRPr="00542408">
        <w:rPr>
          <w:color w:val="000000"/>
          <w:sz w:val="21"/>
          <w:szCs w:val="21"/>
        </w:rPr>
        <w:t>ChemRRV</w:t>
      </w:r>
      <w:proofErr w:type="spellEnd"/>
      <w:r w:rsidRPr="00542408">
        <w:rPr>
          <w:color w:val="000000"/>
          <w:sz w:val="21"/>
          <w:szCs w:val="21"/>
        </w:rPr>
        <w:t>, elektrische und elektronische Geräte nach Art. 4 VREG).</w:t>
      </w:r>
    </w:p>
    <w:p w:rsidR="0004772D" w:rsidRDefault="0004772D" w:rsidP="0004772D">
      <w:pPr>
        <w:pStyle w:val="NurText"/>
        <w:rPr>
          <w:highlight w:val="yellow"/>
        </w:rPr>
      </w:pPr>
    </w:p>
    <w:p w:rsidR="005E3B70" w:rsidRPr="0004772D" w:rsidRDefault="005E3B70" w:rsidP="0004772D">
      <w:pPr>
        <w:pStyle w:val="NurText"/>
        <w:rPr>
          <w:highlight w:val="yellow"/>
        </w:rPr>
      </w:pPr>
    </w:p>
    <w:p w:rsidR="0004772D" w:rsidRDefault="0004772D" w:rsidP="0004772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tabs>
          <w:tab w:val="decimal" w:pos="1134"/>
        </w:tabs>
        <w:rPr>
          <w:rFonts w:cs="Arial"/>
          <w:b/>
          <w:sz w:val="21"/>
          <w:szCs w:val="21"/>
        </w:rPr>
      </w:pPr>
      <w:r w:rsidRPr="00241DC3">
        <w:rPr>
          <w:rFonts w:cs="Arial"/>
          <w:b/>
          <w:sz w:val="21"/>
          <w:szCs w:val="21"/>
        </w:rPr>
        <w:t xml:space="preserve">Zu Art. </w:t>
      </w:r>
      <w:r>
        <w:rPr>
          <w:rFonts w:cs="Arial"/>
          <w:b/>
          <w:sz w:val="21"/>
          <w:szCs w:val="21"/>
        </w:rPr>
        <w:t>1</w:t>
      </w:r>
      <w:r w:rsidR="00722A2A">
        <w:rPr>
          <w:rFonts w:cs="Arial"/>
          <w:b/>
          <w:sz w:val="21"/>
          <w:szCs w:val="21"/>
        </w:rPr>
        <w:t>6</w:t>
      </w:r>
    </w:p>
    <w:p w:rsidR="0004772D" w:rsidRDefault="0004772D" w:rsidP="0004772D">
      <w:pPr>
        <w:pStyle w:val="NurText"/>
        <w:rPr>
          <w:highlight w:val="yellow"/>
        </w:rPr>
      </w:pPr>
    </w:p>
    <w:p w:rsidR="005E3B70" w:rsidRPr="005E3B70" w:rsidRDefault="005E3B70" w:rsidP="005E3B70">
      <w:pPr>
        <w:pStyle w:val="Textkrper-Zeileneinzug"/>
        <w:tabs>
          <w:tab w:val="left" w:pos="567"/>
        </w:tabs>
        <w:spacing w:line="360" w:lineRule="auto"/>
        <w:ind w:left="0"/>
        <w:rPr>
          <w:rFonts w:ascii="Arial" w:hAnsi="Arial" w:cs="Arial"/>
          <w:b/>
          <w:sz w:val="22"/>
          <w:szCs w:val="22"/>
        </w:rPr>
      </w:pPr>
      <w:r w:rsidRPr="005E3B70">
        <w:rPr>
          <w:rFonts w:ascii="Arial" w:hAnsi="Arial" w:cs="Arial"/>
          <w:b/>
          <w:sz w:val="22"/>
          <w:szCs w:val="22"/>
        </w:rPr>
        <w:t>Abs. 2</w:t>
      </w:r>
    </w:p>
    <w:p w:rsidR="00722A2A" w:rsidRDefault="00722A2A" w:rsidP="005E3B70">
      <w:pPr>
        <w:pStyle w:val="Textkrper-Zeileneinzug"/>
        <w:tabs>
          <w:tab w:val="left" w:pos="567"/>
        </w:tabs>
        <w:spacing w:line="360" w:lineRule="auto"/>
        <w:ind w:left="0"/>
        <w:rPr>
          <w:rFonts w:ascii="Arial" w:hAnsi="Arial" w:cs="Arial"/>
          <w:sz w:val="22"/>
          <w:szCs w:val="22"/>
        </w:rPr>
      </w:pPr>
      <w:r w:rsidRPr="00155BC7">
        <w:rPr>
          <w:rFonts w:ascii="Arial" w:hAnsi="Arial" w:cs="Arial"/>
          <w:sz w:val="22"/>
          <w:szCs w:val="22"/>
        </w:rPr>
        <w:t>Container müssen durch die Besitzer gewartet und bei Bedarf repariert und auch gereinigt werden.</w:t>
      </w:r>
      <w:r w:rsidR="005E3B70">
        <w:rPr>
          <w:rFonts w:ascii="Arial" w:hAnsi="Arial" w:cs="Arial"/>
          <w:sz w:val="22"/>
          <w:szCs w:val="22"/>
        </w:rPr>
        <w:t xml:space="preserve"> </w:t>
      </w:r>
      <w:r w:rsidRPr="00155BC7">
        <w:rPr>
          <w:rFonts w:ascii="Arial" w:hAnsi="Arial" w:cs="Arial"/>
          <w:sz w:val="22"/>
          <w:szCs w:val="22"/>
        </w:rPr>
        <w:t xml:space="preserve">Reparaturen sind </w:t>
      </w:r>
      <w:r>
        <w:rPr>
          <w:rFonts w:ascii="Arial" w:hAnsi="Arial" w:cs="Arial"/>
          <w:sz w:val="22"/>
          <w:szCs w:val="22"/>
        </w:rPr>
        <w:t xml:space="preserve">beispielsweise </w:t>
      </w:r>
      <w:r w:rsidRPr="00155BC7">
        <w:rPr>
          <w:rFonts w:ascii="Arial" w:hAnsi="Arial" w:cs="Arial"/>
          <w:sz w:val="22"/>
          <w:szCs w:val="22"/>
        </w:rPr>
        <w:t>notwendig, wenn der Zustand des Containers die Entleerung erschwert oder verunmöglicht</w:t>
      </w:r>
      <w:r>
        <w:rPr>
          <w:rFonts w:ascii="Arial" w:hAnsi="Arial" w:cs="Arial"/>
          <w:sz w:val="22"/>
          <w:szCs w:val="22"/>
        </w:rPr>
        <w:t xml:space="preserve"> (z.B.</w:t>
      </w:r>
      <w:r w:rsidRPr="00155BC7">
        <w:rPr>
          <w:rFonts w:ascii="Arial" w:hAnsi="Arial" w:cs="Arial"/>
          <w:sz w:val="22"/>
          <w:szCs w:val="22"/>
        </w:rPr>
        <w:t xml:space="preserve"> bei defekten Handgriffen, beschädigten Rädern, klemmenden Deckeln</w:t>
      </w:r>
      <w:r>
        <w:rPr>
          <w:rFonts w:ascii="Arial" w:hAnsi="Arial" w:cs="Arial"/>
          <w:sz w:val="22"/>
          <w:szCs w:val="22"/>
        </w:rPr>
        <w:t>)</w:t>
      </w:r>
      <w:r w:rsidRPr="00155BC7">
        <w:rPr>
          <w:rFonts w:ascii="Arial" w:hAnsi="Arial" w:cs="Arial"/>
          <w:sz w:val="22"/>
          <w:szCs w:val="22"/>
        </w:rPr>
        <w:t xml:space="preserve">. Reparaturen können </w:t>
      </w:r>
      <w:r>
        <w:rPr>
          <w:rFonts w:ascii="Arial" w:hAnsi="Arial" w:cs="Arial"/>
          <w:sz w:val="22"/>
          <w:szCs w:val="22"/>
        </w:rPr>
        <w:t xml:space="preserve">insbesondere dann </w:t>
      </w:r>
      <w:r w:rsidRPr="00155BC7">
        <w:rPr>
          <w:rFonts w:ascii="Arial" w:hAnsi="Arial" w:cs="Arial"/>
          <w:sz w:val="22"/>
          <w:szCs w:val="22"/>
        </w:rPr>
        <w:t xml:space="preserve">verlangt werden, wenn die Sicherheit für </w:t>
      </w:r>
      <w:proofErr w:type="spellStart"/>
      <w:r w:rsidRPr="00155BC7">
        <w:rPr>
          <w:rFonts w:ascii="Arial" w:hAnsi="Arial" w:cs="Arial"/>
          <w:sz w:val="22"/>
          <w:szCs w:val="22"/>
        </w:rPr>
        <w:t>Belader</w:t>
      </w:r>
      <w:proofErr w:type="spellEnd"/>
      <w:r w:rsidRPr="00155BC7">
        <w:rPr>
          <w:rFonts w:ascii="Arial" w:hAnsi="Arial" w:cs="Arial"/>
          <w:sz w:val="22"/>
          <w:szCs w:val="22"/>
        </w:rPr>
        <w:t>, andere Personen oder Verkehrsteilnehmer nicht mehr gewährt ist (z.B. defekte Bremsen).</w:t>
      </w:r>
    </w:p>
    <w:p w:rsidR="00722A2A" w:rsidRPr="00155BC7" w:rsidRDefault="00722A2A" w:rsidP="005E3B70">
      <w:pPr>
        <w:pStyle w:val="Textkrper-Zeileneinzug"/>
        <w:tabs>
          <w:tab w:val="left" w:pos="567"/>
        </w:tabs>
        <w:spacing w:line="360" w:lineRule="auto"/>
        <w:ind w:left="0"/>
        <w:rPr>
          <w:rFonts w:ascii="Arial" w:hAnsi="Arial" w:cs="Arial"/>
          <w:sz w:val="22"/>
          <w:szCs w:val="22"/>
        </w:rPr>
      </w:pPr>
      <w:r w:rsidRPr="00155BC7">
        <w:rPr>
          <w:rFonts w:ascii="Arial" w:hAnsi="Arial" w:cs="Arial"/>
          <w:sz w:val="22"/>
          <w:szCs w:val="22"/>
        </w:rPr>
        <w:t xml:space="preserve">Je nach Art der Abfälle ist eine </w:t>
      </w:r>
      <w:proofErr w:type="spellStart"/>
      <w:r w:rsidRPr="00155BC7">
        <w:rPr>
          <w:rFonts w:ascii="Arial" w:hAnsi="Arial" w:cs="Arial"/>
          <w:sz w:val="22"/>
          <w:szCs w:val="22"/>
        </w:rPr>
        <w:t>regelmässige</w:t>
      </w:r>
      <w:proofErr w:type="spellEnd"/>
      <w:r w:rsidRPr="00155BC7">
        <w:rPr>
          <w:rFonts w:ascii="Arial" w:hAnsi="Arial" w:cs="Arial"/>
          <w:sz w:val="22"/>
          <w:szCs w:val="22"/>
        </w:rPr>
        <w:t xml:space="preserve"> Reinigung </w:t>
      </w:r>
      <w:r>
        <w:rPr>
          <w:rFonts w:ascii="Arial" w:hAnsi="Arial" w:cs="Arial"/>
          <w:sz w:val="22"/>
          <w:szCs w:val="22"/>
        </w:rPr>
        <w:t xml:space="preserve">der Container </w:t>
      </w:r>
      <w:r w:rsidRPr="00155BC7">
        <w:rPr>
          <w:rFonts w:ascii="Arial" w:hAnsi="Arial" w:cs="Arial"/>
          <w:sz w:val="22"/>
          <w:szCs w:val="22"/>
        </w:rPr>
        <w:t xml:space="preserve">notwendig. Um die Verschmutzung des Containers zu verhindern, kann </w:t>
      </w:r>
      <w:r>
        <w:rPr>
          <w:rFonts w:ascii="Arial" w:hAnsi="Arial" w:cs="Arial"/>
          <w:sz w:val="22"/>
          <w:szCs w:val="22"/>
        </w:rPr>
        <w:t xml:space="preserve">beispielsweise </w:t>
      </w:r>
      <w:r w:rsidR="00220987">
        <w:rPr>
          <w:rFonts w:ascii="Arial" w:hAnsi="Arial" w:cs="Arial"/>
          <w:sz w:val="22"/>
          <w:szCs w:val="22"/>
        </w:rPr>
        <w:t>v</w:t>
      </w:r>
      <w:r w:rsidRPr="00155BC7">
        <w:rPr>
          <w:rFonts w:ascii="Arial" w:hAnsi="Arial" w:cs="Arial"/>
          <w:sz w:val="22"/>
          <w:szCs w:val="22"/>
        </w:rPr>
        <w:t xml:space="preserve">om </w:t>
      </w:r>
      <w:r>
        <w:rPr>
          <w:rFonts w:ascii="Arial" w:hAnsi="Arial" w:cs="Arial"/>
          <w:sz w:val="22"/>
          <w:szCs w:val="22"/>
        </w:rPr>
        <w:t>Besitzer</w:t>
      </w:r>
      <w:r w:rsidRPr="00155BC7">
        <w:rPr>
          <w:rFonts w:ascii="Arial" w:hAnsi="Arial" w:cs="Arial"/>
          <w:sz w:val="22"/>
          <w:szCs w:val="22"/>
        </w:rPr>
        <w:t xml:space="preserve"> verlangt werden, dass Einlagesäcke verwendet werden. </w:t>
      </w:r>
    </w:p>
    <w:p w:rsidR="005E3B70" w:rsidRDefault="005E3B70">
      <w:pPr>
        <w:tabs>
          <w:tab w:val="clear" w:pos="426"/>
          <w:tab w:val="clear" w:pos="851"/>
          <w:tab w:val="clear" w:pos="1276"/>
          <w:tab w:val="clear" w:pos="5216"/>
          <w:tab w:val="clear" w:pos="7938"/>
          <w:tab w:val="clear" w:pos="9299"/>
        </w:tabs>
        <w:rPr>
          <w:rFonts w:ascii="Consolas" w:hAnsi="Consolas"/>
          <w:sz w:val="21"/>
          <w:szCs w:val="21"/>
        </w:rPr>
      </w:pPr>
    </w:p>
    <w:p w:rsidR="00333861" w:rsidRDefault="00333861" w:rsidP="00333861">
      <w:pPr>
        <w:pStyle w:val="NurText"/>
      </w:pPr>
    </w:p>
    <w:p w:rsidR="00333861" w:rsidRPr="00333861" w:rsidRDefault="00333861" w:rsidP="00333861">
      <w:pPr>
        <w:pStyle w:val="NurText"/>
      </w:pPr>
    </w:p>
    <w:p w:rsidR="005E3B70" w:rsidRPr="007A2F42" w:rsidRDefault="005E3B70" w:rsidP="0037187C">
      <w:pPr>
        <w:pStyle w:val="NurText"/>
      </w:pPr>
    </w:p>
    <w:p w:rsidR="0037187C" w:rsidRDefault="0037187C" w:rsidP="0037187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tabs>
          <w:tab w:val="decimal" w:pos="1134"/>
        </w:tabs>
        <w:rPr>
          <w:rFonts w:cs="Arial"/>
          <w:b/>
          <w:sz w:val="21"/>
          <w:szCs w:val="21"/>
        </w:rPr>
      </w:pPr>
      <w:r>
        <w:rPr>
          <w:rFonts w:cs="Arial"/>
          <w:b/>
          <w:sz w:val="21"/>
          <w:szCs w:val="21"/>
        </w:rPr>
        <w:t>Vorbemerkungen zu den Bestimmungen über die Finanzierung (</w:t>
      </w:r>
      <w:r w:rsidRPr="00241DC3">
        <w:rPr>
          <w:rFonts w:cs="Arial"/>
          <w:b/>
          <w:sz w:val="21"/>
          <w:szCs w:val="21"/>
        </w:rPr>
        <w:t xml:space="preserve">Art. </w:t>
      </w:r>
      <w:r>
        <w:rPr>
          <w:rFonts w:cs="Arial"/>
          <w:b/>
          <w:sz w:val="21"/>
          <w:szCs w:val="21"/>
        </w:rPr>
        <w:t>19ff.)</w:t>
      </w:r>
    </w:p>
    <w:p w:rsidR="0037187C" w:rsidRDefault="0037187C" w:rsidP="0037187C">
      <w:pPr>
        <w:tabs>
          <w:tab w:val="decimal" w:pos="1134"/>
        </w:tabs>
        <w:rPr>
          <w:rFonts w:cs="Arial"/>
          <w:sz w:val="21"/>
          <w:szCs w:val="21"/>
        </w:rPr>
      </w:pPr>
    </w:p>
    <w:p w:rsidR="007A2F42" w:rsidRPr="0037187C" w:rsidRDefault="0037187C" w:rsidP="00D12808">
      <w:pPr>
        <w:spacing w:line="360" w:lineRule="auto"/>
      </w:pPr>
      <w:r w:rsidRPr="0037187C">
        <w:t>Das Amt für Gemeinden und das Amt für Umwelt haben</w:t>
      </w:r>
      <w:r>
        <w:t xml:space="preserve"> gemeinsam das Merkblatt AFU 213 "Finanzierung Siedlungsabfallentsorgung" herausgegeben. </w:t>
      </w:r>
      <w:r w:rsidR="00D12808">
        <w:t xml:space="preserve">Dieses informiert insbesondere über die Rahmenbedingungen der Finanzierung der Siedlungsabfallentsorgung und bezieht sich dabei vor allem auch auf die Vollzugshilfe BAFU 2018. </w:t>
      </w:r>
    </w:p>
    <w:p w:rsidR="00867BF6" w:rsidRDefault="00867BF6" w:rsidP="007A2F42">
      <w:pPr>
        <w:pStyle w:val="NurText"/>
      </w:pPr>
    </w:p>
    <w:p w:rsidR="005E3B70" w:rsidRPr="007A2F42" w:rsidRDefault="005E3B70" w:rsidP="007A2F42">
      <w:pPr>
        <w:pStyle w:val="NurText"/>
      </w:pPr>
    </w:p>
    <w:p w:rsidR="007A2F42" w:rsidRDefault="007A2F42" w:rsidP="007A2F4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tabs>
          <w:tab w:val="decimal" w:pos="1134"/>
        </w:tabs>
        <w:rPr>
          <w:rFonts w:cs="Arial"/>
          <w:b/>
          <w:sz w:val="21"/>
          <w:szCs w:val="21"/>
        </w:rPr>
      </w:pPr>
      <w:r w:rsidRPr="00241DC3">
        <w:rPr>
          <w:rFonts w:cs="Arial"/>
          <w:b/>
          <w:sz w:val="21"/>
          <w:szCs w:val="21"/>
        </w:rPr>
        <w:t xml:space="preserve">Zu Art. </w:t>
      </w:r>
      <w:r>
        <w:rPr>
          <w:rFonts w:cs="Arial"/>
          <w:b/>
          <w:sz w:val="21"/>
          <w:szCs w:val="21"/>
        </w:rPr>
        <w:t>19</w:t>
      </w:r>
    </w:p>
    <w:p w:rsidR="007947D1" w:rsidRDefault="007947D1">
      <w:pPr>
        <w:tabs>
          <w:tab w:val="decimal" w:pos="1134"/>
        </w:tabs>
        <w:rPr>
          <w:rFonts w:cs="Arial"/>
          <w:sz w:val="21"/>
          <w:szCs w:val="21"/>
        </w:rPr>
      </w:pPr>
    </w:p>
    <w:p w:rsidR="007947D1" w:rsidRDefault="007947D1" w:rsidP="007A2F42">
      <w:pPr>
        <w:tabs>
          <w:tab w:val="decimal" w:pos="1134"/>
        </w:tabs>
        <w:spacing w:line="360" w:lineRule="auto"/>
        <w:rPr>
          <w:rFonts w:cs="Arial"/>
          <w:sz w:val="21"/>
          <w:szCs w:val="21"/>
        </w:rPr>
      </w:pPr>
      <w:r w:rsidRPr="00241DC3">
        <w:rPr>
          <w:rFonts w:cs="Arial"/>
          <w:sz w:val="21"/>
          <w:szCs w:val="21"/>
        </w:rPr>
        <w:t>Wie die Spezialfinanzierung zu führen ist, ergibt sich aus den entsprechenden Bestim</w:t>
      </w:r>
      <w:r w:rsidRPr="00241DC3">
        <w:rPr>
          <w:rFonts w:cs="Arial"/>
          <w:sz w:val="21"/>
          <w:szCs w:val="21"/>
        </w:rPr>
        <w:softHyphen/>
        <w:t>mun</w:t>
      </w:r>
      <w:r w:rsidRPr="00241DC3">
        <w:rPr>
          <w:rFonts w:cs="Arial"/>
          <w:sz w:val="21"/>
          <w:szCs w:val="21"/>
        </w:rPr>
        <w:softHyphen/>
        <w:t>gen der Verordnung über den Finanzhaushalt der Gemeinden (sGS 151.53).</w:t>
      </w:r>
    </w:p>
    <w:p w:rsidR="00F47791" w:rsidRPr="00F47791" w:rsidRDefault="00F47791" w:rsidP="00F47791">
      <w:pPr>
        <w:pStyle w:val="NurText"/>
      </w:pPr>
    </w:p>
    <w:p w:rsidR="000D7173" w:rsidRPr="000D7173" w:rsidRDefault="000D7173" w:rsidP="000D7173">
      <w:pPr>
        <w:pStyle w:val="NurText"/>
      </w:pPr>
    </w:p>
    <w:p w:rsidR="000D7173" w:rsidRPr="00F47791" w:rsidRDefault="000D7173" w:rsidP="000D7173">
      <w:pPr>
        <w:pBdr>
          <w:top w:val="single" w:sz="4" w:space="1" w:color="000000"/>
          <w:left w:val="single" w:sz="4" w:space="4" w:color="000000"/>
          <w:bottom w:val="single" w:sz="4" w:space="1" w:color="000000"/>
          <w:right w:val="single" w:sz="4" w:space="4" w:color="000000"/>
        </w:pBdr>
        <w:shd w:val="clear" w:color="auto" w:fill="F2F2F2"/>
        <w:rPr>
          <w:b/>
        </w:rPr>
      </w:pPr>
      <w:r w:rsidRPr="00F47791">
        <w:rPr>
          <w:b/>
        </w:rPr>
        <w:t>Zu Art. 20</w:t>
      </w:r>
      <w:r w:rsidR="003120DD">
        <w:rPr>
          <w:b/>
        </w:rPr>
        <w:t>f.</w:t>
      </w:r>
    </w:p>
    <w:p w:rsidR="000D7173" w:rsidRDefault="000D7173" w:rsidP="000D7173">
      <w:pPr>
        <w:rPr>
          <w:rFonts w:cs="Arial"/>
          <w:b/>
          <w:sz w:val="21"/>
          <w:szCs w:val="21"/>
        </w:rPr>
      </w:pPr>
    </w:p>
    <w:p w:rsidR="000D7173" w:rsidRDefault="000D7173" w:rsidP="000D7173">
      <w:pPr>
        <w:rPr>
          <w:rFonts w:cs="Arial"/>
          <w:b/>
          <w:sz w:val="21"/>
          <w:szCs w:val="21"/>
        </w:rPr>
      </w:pPr>
      <w:r>
        <w:rPr>
          <w:rFonts w:cs="Arial"/>
          <w:b/>
          <w:sz w:val="21"/>
          <w:szCs w:val="21"/>
        </w:rPr>
        <w:t>Vorbemerkungen</w:t>
      </w:r>
    </w:p>
    <w:p w:rsidR="000D7173" w:rsidRDefault="000D7173" w:rsidP="000D7173">
      <w:pPr>
        <w:spacing w:line="360" w:lineRule="auto"/>
        <w:rPr>
          <w:rFonts w:cs="Arial"/>
          <w:sz w:val="21"/>
          <w:szCs w:val="21"/>
        </w:rPr>
      </w:pPr>
      <w:r>
        <w:rPr>
          <w:rFonts w:cs="Arial"/>
          <w:sz w:val="21"/>
          <w:szCs w:val="21"/>
        </w:rPr>
        <w:t>Gemäss Art. 32a USG ist die Entsorgung der Siedlungsabfälle über verursachergerechte und kostende</w:t>
      </w:r>
      <w:r w:rsidR="00F47791">
        <w:rPr>
          <w:rFonts w:cs="Arial"/>
          <w:sz w:val="21"/>
          <w:szCs w:val="21"/>
        </w:rPr>
        <w:t>ckende Gebühren zu finanzieren.</w:t>
      </w:r>
      <w:r w:rsidR="00F47791">
        <w:rPr>
          <w:rStyle w:val="Funotenzeichen"/>
          <w:rFonts w:cs="Arial"/>
          <w:szCs w:val="21"/>
        </w:rPr>
        <w:footnoteReference w:id="6"/>
      </w:r>
    </w:p>
    <w:p w:rsidR="004A4659" w:rsidRDefault="004A4659" w:rsidP="000D7173">
      <w:pPr>
        <w:spacing w:line="360" w:lineRule="auto"/>
        <w:rPr>
          <w:rFonts w:cs="Arial"/>
          <w:b/>
          <w:sz w:val="21"/>
          <w:szCs w:val="21"/>
        </w:rPr>
      </w:pPr>
    </w:p>
    <w:p w:rsidR="000D7173" w:rsidRDefault="000D7173" w:rsidP="000D7173">
      <w:pPr>
        <w:spacing w:line="360" w:lineRule="auto"/>
      </w:pPr>
      <w:r>
        <w:rPr>
          <w:rFonts w:cs="Arial"/>
          <w:b/>
          <w:sz w:val="21"/>
          <w:szCs w:val="21"/>
        </w:rPr>
        <w:t>Verursachergerecht</w:t>
      </w:r>
      <w:r>
        <w:rPr>
          <w:rFonts w:cs="Arial"/>
          <w:sz w:val="21"/>
          <w:szCs w:val="21"/>
        </w:rPr>
        <w:t xml:space="preserve"> bedeutet, dass die Kosten der Siedlungsabfallentsorgung den Verursachern </w:t>
      </w:r>
      <w:proofErr w:type="spellStart"/>
      <w:r>
        <w:rPr>
          <w:rFonts w:cs="Arial"/>
          <w:sz w:val="21"/>
          <w:szCs w:val="21"/>
        </w:rPr>
        <w:t>überbunden</w:t>
      </w:r>
      <w:proofErr w:type="spellEnd"/>
      <w:r>
        <w:rPr>
          <w:rFonts w:cs="Arial"/>
          <w:sz w:val="21"/>
          <w:szCs w:val="21"/>
        </w:rPr>
        <w:t xml:space="preserve"> werden. Grundsätzlich gilt derjenige, der die Abfälle erzeugt bzw. sich derer entledigt, als Verursacher. </w:t>
      </w:r>
    </w:p>
    <w:p w:rsidR="00333861" w:rsidRDefault="00333861" w:rsidP="000D7173">
      <w:pPr>
        <w:spacing w:line="360" w:lineRule="auto"/>
        <w:rPr>
          <w:rFonts w:cs="Arial"/>
          <w:b/>
          <w:sz w:val="21"/>
          <w:szCs w:val="21"/>
        </w:rPr>
      </w:pPr>
    </w:p>
    <w:p w:rsidR="000D7173" w:rsidRDefault="000D7173" w:rsidP="000D7173">
      <w:pPr>
        <w:spacing w:line="360" w:lineRule="auto"/>
      </w:pPr>
      <w:r>
        <w:rPr>
          <w:rFonts w:cs="Arial"/>
          <w:b/>
          <w:sz w:val="21"/>
          <w:szCs w:val="21"/>
        </w:rPr>
        <w:t xml:space="preserve">Kostendeckend </w:t>
      </w:r>
      <w:r>
        <w:rPr>
          <w:rFonts w:cs="Arial"/>
          <w:sz w:val="21"/>
          <w:szCs w:val="21"/>
        </w:rPr>
        <w:t xml:space="preserve">bedeutet, der Ertrag der Gebühren soll die gesamten Kosten der Siedlungsabfallentsorgung mittelfristig nicht übersteigen. Dies hat den Zweck, die Höhe der Gebühren insgesamt zu beschränken. </w:t>
      </w:r>
    </w:p>
    <w:p w:rsidR="000D7173" w:rsidRDefault="000D7173" w:rsidP="000D7173">
      <w:pPr>
        <w:spacing w:line="360" w:lineRule="auto"/>
        <w:rPr>
          <w:rFonts w:cs="Arial"/>
          <w:sz w:val="21"/>
          <w:szCs w:val="21"/>
        </w:rPr>
      </w:pPr>
    </w:p>
    <w:p w:rsidR="000D7173" w:rsidRDefault="000D7173" w:rsidP="000D7173">
      <w:pPr>
        <w:spacing w:line="360" w:lineRule="auto"/>
        <w:rPr>
          <w:rFonts w:cs="Arial"/>
          <w:sz w:val="21"/>
          <w:szCs w:val="21"/>
        </w:rPr>
      </w:pPr>
      <w:r>
        <w:rPr>
          <w:rFonts w:cs="Arial"/>
          <w:sz w:val="21"/>
          <w:szCs w:val="21"/>
        </w:rPr>
        <w:t>Neben dem Verursacher- und dem Kostendeckungsprinzip sind bei der Gebührengestaltung noch weitere Grundsätze wie das Äquivalenzprinzip, das Gleichbehandlungsgebot und das Transparenzprinzip beachtet werden. Die Gebühren müssen zudem einen Lenkungseffekt haben</w:t>
      </w:r>
      <w:r w:rsidR="00333861">
        <w:rPr>
          <w:rFonts w:cs="Arial"/>
          <w:sz w:val="21"/>
          <w:szCs w:val="21"/>
        </w:rPr>
        <w:t>.</w:t>
      </w:r>
      <w:r w:rsidR="00333861">
        <w:rPr>
          <w:rStyle w:val="Funotenzeichen"/>
          <w:rFonts w:cs="Arial"/>
          <w:szCs w:val="21"/>
        </w:rPr>
        <w:footnoteReference w:id="7"/>
      </w:r>
      <w:r>
        <w:rPr>
          <w:rFonts w:cs="Arial"/>
          <w:sz w:val="21"/>
          <w:szCs w:val="21"/>
        </w:rPr>
        <w:t xml:space="preserve"> </w:t>
      </w:r>
    </w:p>
    <w:p w:rsidR="000D7173" w:rsidRDefault="000D7173" w:rsidP="000D7173">
      <w:pPr>
        <w:spacing w:line="360" w:lineRule="auto"/>
        <w:rPr>
          <w:rFonts w:cs="Arial"/>
          <w:sz w:val="21"/>
          <w:szCs w:val="21"/>
        </w:rPr>
      </w:pPr>
    </w:p>
    <w:p w:rsidR="000D7173" w:rsidRDefault="000D7173" w:rsidP="000D7173">
      <w:pPr>
        <w:spacing w:line="360" w:lineRule="auto"/>
      </w:pPr>
      <w:r>
        <w:rPr>
          <w:rFonts w:cs="Arial"/>
          <w:sz w:val="21"/>
          <w:szCs w:val="21"/>
        </w:rPr>
        <w:t xml:space="preserve">Art. 32a USG lässt bei der Umsetzung des Verursacherprinzips einen beträchtlichen Spielraum. Das Gesetz ermöglicht damit den Gemeinden, ihr Gebührenmodell den regionalen oder lokalen Besonderheiten anzupassen. Der gesetzliche Rahmen verlangt allerdings ausdrücklich Gebühren, welche Art und Menge des übergebenen Abfalls berücksichtigen. Mengengebühren (z. B. volumen- </w:t>
      </w:r>
      <w:r>
        <w:rPr>
          <w:rFonts w:cs="Arial"/>
          <w:sz w:val="21"/>
          <w:szCs w:val="21"/>
        </w:rPr>
        <w:lastRenderedPageBreak/>
        <w:t xml:space="preserve">oder gewichtsabhängige Kehrichtgebühren) erfüllen diese Anforderungen und werden zweckmässig mit Grundgebühren kombiniert. Diese Kombination hat sich in der Praxis bewährt und entspricht dem Verursacherprinzip. </w:t>
      </w:r>
      <w:r w:rsidR="00F139E1">
        <w:rPr>
          <w:rFonts w:cs="Arial"/>
          <w:sz w:val="21"/>
          <w:szCs w:val="21"/>
        </w:rPr>
        <w:t>Weitere Informationen zur verursachergerechten Gebührengestaltung finden sich in der Vollzugshilfe BAFU 2018, S. 39ff.</w:t>
      </w:r>
    </w:p>
    <w:p w:rsidR="004A4659" w:rsidRDefault="004A4659" w:rsidP="000D7173">
      <w:pPr>
        <w:spacing w:line="360" w:lineRule="auto"/>
        <w:rPr>
          <w:rFonts w:cs="Arial"/>
          <w:b/>
          <w:sz w:val="21"/>
          <w:szCs w:val="21"/>
        </w:rPr>
      </w:pPr>
      <w:bookmarkStart w:id="0" w:name="_GoBack"/>
      <w:bookmarkEnd w:id="0"/>
    </w:p>
    <w:p w:rsidR="000D7173" w:rsidRDefault="000D7173" w:rsidP="000D7173">
      <w:pPr>
        <w:spacing w:line="360" w:lineRule="auto"/>
      </w:pPr>
      <w:r>
        <w:rPr>
          <w:rFonts w:cs="Arial"/>
          <w:b/>
          <w:sz w:val="21"/>
          <w:szCs w:val="21"/>
        </w:rPr>
        <w:t xml:space="preserve">Bemessung der Mengengebühr: </w:t>
      </w:r>
      <w:r>
        <w:rPr>
          <w:rFonts w:cs="Arial"/>
          <w:sz w:val="21"/>
          <w:szCs w:val="21"/>
        </w:rPr>
        <w:t xml:space="preserve">Die Mengengebühr berücksichtigt die effektiv übergebene Abfallmenge. Sie lässt sich nach Volumen (z. B. Sack, Container) oder nach Gewicht des übergebenen Abfalls bemessen. Die Bemessung der Abfallmenge nach Volumen ist heute aus Praktikabilitätsgründen insbesondere für den Kehricht weit verbreitet (sog. Sackgebühr). Bei Abfällen aus Unternehmen findet in der Praxis die Bemessung nach Volumen sowie nach Gewicht Anwendung. Mit der Entwicklung der technischen Möglichkeiten können künftig vermehrt Systeme zur Bemessung des Gewichts auch bei Haushaltsabfällen zum Einsatz kommen (z. B. Gewichtserfassung mit Identifikation). In Abhängigkeit von der Art des übergebenen Abfalls (z. B. Kehricht, Sperrgut oder Grünabfälle) kann der Mengengebühr eine konkrete Bezeichnung, wie z. B. Kehrichtgebühr, Sperrgutgebühr oder Grüngutgebühr, zugewiesen werden. </w:t>
      </w:r>
    </w:p>
    <w:p w:rsidR="00333861" w:rsidRDefault="00333861" w:rsidP="000D7173">
      <w:pPr>
        <w:spacing w:line="360" w:lineRule="auto"/>
        <w:rPr>
          <w:rFonts w:cs="Arial"/>
          <w:b/>
          <w:sz w:val="21"/>
          <w:szCs w:val="21"/>
        </w:rPr>
      </w:pPr>
    </w:p>
    <w:p w:rsidR="000D7173" w:rsidRDefault="000D7173" w:rsidP="000D7173">
      <w:pPr>
        <w:spacing w:line="360" w:lineRule="auto"/>
      </w:pPr>
      <w:r>
        <w:rPr>
          <w:rFonts w:cs="Arial"/>
          <w:b/>
          <w:sz w:val="21"/>
          <w:szCs w:val="21"/>
        </w:rPr>
        <w:t>Bemessung der Grundgebühr</w:t>
      </w:r>
      <w:r>
        <w:rPr>
          <w:rFonts w:cs="Arial"/>
          <w:sz w:val="21"/>
          <w:szCs w:val="21"/>
        </w:rPr>
        <w:t>: Bei der Grundgebühr entfällt die direkte Proportionalität zur übergebenen Abfallmenge. Die Bemessung der Grundgebühr nach bestimmten Kriterien kann jedoch einen gewissen indirekten Bezug zur verursachten Abfallmenge herstellen. Die Auswahl an Bemessungskriterien für Haushalte und Unternehmen ist gross. Für Haushalte lässt sich die Grundgebühr z. B. pro Einwohner, gemäss der Wohnfläche oder der Anzahl Zimmer, nach Gebäudevolumen oder Art der Liegenschaft (Einfamilienhaus, Wohnung) sowie einheitlich pro Haushalt bemessen. Bei Unternehmen kann die Erhebung der Grundgebühr z. B. in Abhängigkeit von der Anzahl der Angestellten, vom Gebäudevolumen, von der Betriebs- bzw. Gewerbefläche oder von der Branche erfolgen oder einheitlich pro Unternehmen bzw. Unternehmenseinheit. Es sei hier anzumerken, dass eine einheitliche Grundgebühr pro Haushalt nur in Kombination mit einer Mengengebühr für Grünabfälle als ausreichend verursachergerecht erachtet wird.</w:t>
      </w:r>
    </w:p>
    <w:p w:rsidR="000D7173" w:rsidRDefault="000D7173" w:rsidP="000D7173">
      <w:pPr>
        <w:spacing w:line="360" w:lineRule="auto"/>
        <w:rPr>
          <w:rFonts w:cs="Arial"/>
          <w:sz w:val="21"/>
          <w:szCs w:val="21"/>
        </w:rPr>
      </w:pPr>
    </w:p>
    <w:p w:rsidR="000D7173" w:rsidRDefault="000D7173" w:rsidP="000D7173">
      <w:pPr>
        <w:spacing w:line="360" w:lineRule="auto"/>
        <w:rPr>
          <w:rFonts w:cs="Arial"/>
          <w:sz w:val="21"/>
          <w:szCs w:val="21"/>
        </w:rPr>
      </w:pPr>
      <w:r>
        <w:rPr>
          <w:rFonts w:cs="Arial"/>
          <w:sz w:val="21"/>
          <w:szCs w:val="21"/>
        </w:rPr>
        <w:t>Das Muster-Abfallreglement enthält folgende drei Varianten für Gebühren:</w:t>
      </w:r>
    </w:p>
    <w:p w:rsidR="000D7173" w:rsidRDefault="000D7173" w:rsidP="000D7173">
      <w:pPr>
        <w:pStyle w:val="Listenabsatz"/>
        <w:numPr>
          <w:ilvl w:val="0"/>
          <w:numId w:val="10"/>
        </w:numPr>
        <w:tabs>
          <w:tab w:val="clear" w:pos="426"/>
          <w:tab w:val="clear" w:pos="851"/>
          <w:tab w:val="clear" w:pos="1276"/>
          <w:tab w:val="clear" w:pos="5216"/>
          <w:tab w:val="clear" w:pos="7938"/>
          <w:tab w:val="clear" w:pos="9299"/>
        </w:tabs>
        <w:autoSpaceDN w:val="0"/>
        <w:spacing w:line="360" w:lineRule="auto"/>
        <w:contextualSpacing w:val="0"/>
        <w:textAlignment w:val="baseline"/>
        <w:rPr>
          <w:rFonts w:cs="Arial"/>
          <w:sz w:val="21"/>
          <w:szCs w:val="21"/>
        </w:rPr>
      </w:pPr>
      <w:r>
        <w:rPr>
          <w:rFonts w:cs="Arial"/>
          <w:sz w:val="21"/>
          <w:szCs w:val="21"/>
        </w:rPr>
        <w:t>Volumenabhängige Gebühr</w:t>
      </w:r>
    </w:p>
    <w:p w:rsidR="000D7173" w:rsidRDefault="000D7173" w:rsidP="000D7173">
      <w:pPr>
        <w:pStyle w:val="Listenabsatz"/>
        <w:numPr>
          <w:ilvl w:val="0"/>
          <w:numId w:val="10"/>
        </w:numPr>
        <w:tabs>
          <w:tab w:val="clear" w:pos="426"/>
          <w:tab w:val="clear" w:pos="851"/>
          <w:tab w:val="clear" w:pos="1276"/>
          <w:tab w:val="clear" w:pos="5216"/>
          <w:tab w:val="clear" w:pos="7938"/>
          <w:tab w:val="clear" w:pos="9299"/>
        </w:tabs>
        <w:autoSpaceDN w:val="0"/>
        <w:spacing w:line="360" w:lineRule="auto"/>
        <w:contextualSpacing w:val="0"/>
        <w:textAlignment w:val="baseline"/>
        <w:rPr>
          <w:rFonts w:cs="Arial"/>
          <w:sz w:val="21"/>
          <w:szCs w:val="21"/>
        </w:rPr>
      </w:pPr>
      <w:r>
        <w:rPr>
          <w:rFonts w:cs="Arial"/>
          <w:sz w:val="21"/>
          <w:szCs w:val="21"/>
        </w:rPr>
        <w:t>Gewichtsabhängige Gebühr</w:t>
      </w:r>
    </w:p>
    <w:p w:rsidR="000D7173" w:rsidRDefault="000D7173" w:rsidP="000D7173">
      <w:pPr>
        <w:pStyle w:val="Listenabsatz"/>
        <w:numPr>
          <w:ilvl w:val="0"/>
          <w:numId w:val="10"/>
        </w:numPr>
        <w:tabs>
          <w:tab w:val="clear" w:pos="426"/>
          <w:tab w:val="clear" w:pos="851"/>
          <w:tab w:val="clear" w:pos="1276"/>
          <w:tab w:val="clear" w:pos="5216"/>
          <w:tab w:val="clear" w:pos="7938"/>
          <w:tab w:val="clear" w:pos="9299"/>
        </w:tabs>
        <w:autoSpaceDN w:val="0"/>
        <w:spacing w:line="360" w:lineRule="auto"/>
        <w:contextualSpacing w:val="0"/>
        <w:textAlignment w:val="baseline"/>
        <w:rPr>
          <w:rFonts w:cs="Arial"/>
          <w:sz w:val="21"/>
          <w:szCs w:val="21"/>
        </w:rPr>
      </w:pPr>
      <w:r>
        <w:rPr>
          <w:rFonts w:cs="Arial"/>
          <w:sz w:val="21"/>
          <w:szCs w:val="21"/>
        </w:rPr>
        <w:t>Kombinierte volumen- und gewichtsabhängige Gebühr</w:t>
      </w:r>
    </w:p>
    <w:p w:rsidR="000D7173" w:rsidRDefault="000D7173" w:rsidP="000D7173">
      <w:pPr>
        <w:spacing w:line="360" w:lineRule="auto"/>
        <w:rPr>
          <w:rFonts w:cs="Arial"/>
          <w:sz w:val="21"/>
          <w:szCs w:val="21"/>
        </w:rPr>
      </w:pPr>
      <w:r>
        <w:rPr>
          <w:rFonts w:cs="Arial"/>
          <w:sz w:val="21"/>
          <w:szCs w:val="21"/>
        </w:rPr>
        <w:t>Es liegt im Ermessen der Gemeinde, welche dieser Varianten für sie am besten passt.</w:t>
      </w:r>
    </w:p>
    <w:p w:rsidR="000D7173" w:rsidRDefault="000D7173" w:rsidP="000D7173"/>
    <w:p w:rsidR="003120DD" w:rsidRDefault="003120DD" w:rsidP="003120DD"/>
    <w:p w:rsidR="003120DD" w:rsidRPr="003120DD" w:rsidRDefault="003120DD" w:rsidP="003120DD">
      <w:pPr>
        <w:pBdr>
          <w:top w:val="single" w:sz="4" w:space="1" w:color="000000"/>
          <w:left w:val="single" w:sz="4" w:space="4" w:color="000000"/>
          <w:bottom w:val="single" w:sz="4" w:space="1" w:color="000000"/>
          <w:right w:val="single" w:sz="4" w:space="4" w:color="000000"/>
        </w:pBdr>
        <w:shd w:val="clear" w:color="auto" w:fill="F2F2F2"/>
        <w:rPr>
          <w:b/>
        </w:rPr>
      </w:pPr>
      <w:r w:rsidRPr="003120DD">
        <w:rPr>
          <w:b/>
        </w:rPr>
        <w:t>Zu Art. 22</w:t>
      </w:r>
    </w:p>
    <w:p w:rsidR="003120DD" w:rsidRDefault="003120DD" w:rsidP="003120DD">
      <w:pPr>
        <w:spacing w:line="360" w:lineRule="auto"/>
        <w:rPr>
          <w:rFonts w:cs="Arial"/>
          <w:sz w:val="21"/>
          <w:szCs w:val="21"/>
        </w:rPr>
      </w:pPr>
    </w:p>
    <w:p w:rsidR="003120DD" w:rsidRDefault="003120DD" w:rsidP="003120DD">
      <w:pPr>
        <w:spacing w:line="360" w:lineRule="auto"/>
        <w:rPr>
          <w:rFonts w:cs="Arial"/>
          <w:sz w:val="21"/>
          <w:szCs w:val="21"/>
        </w:rPr>
      </w:pPr>
      <w:r>
        <w:rPr>
          <w:rFonts w:cs="Arial"/>
          <w:sz w:val="21"/>
          <w:szCs w:val="21"/>
        </w:rPr>
        <w:t>Die Mengengebühr bezahlen sowohl Haushalte als auch Unternehmen mit weniger als 250 Vollzeitstellen, die Siedlungsabfälle dem Gemeinwesen zur Entsorgung übergeben.</w:t>
      </w:r>
    </w:p>
    <w:p w:rsidR="003120DD" w:rsidRDefault="003120DD" w:rsidP="003120DD">
      <w:pPr>
        <w:spacing w:line="360" w:lineRule="auto"/>
        <w:rPr>
          <w:rFonts w:cs="Arial"/>
          <w:sz w:val="21"/>
          <w:szCs w:val="21"/>
        </w:rPr>
      </w:pPr>
    </w:p>
    <w:p w:rsidR="003120DD" w:rsidRDefault="003120DD" w:rsidP="003120DD">
      <w:pPr>
        <w:spacing w:line="360" w:lineRule="auto"/>
        <w:rPr>
          <w:rFonts w:cs="Arial"/>
          <w:sz w:val="21"/>
          <w:szCs w:val="21"/>
        </w:rPr>
      </w:pPr>
      <w:r>
        <w:rPr>
          <w:rFonts w:cs="Arial"/>
          <w:sz w:val="21"/>
          <w:szCs w:val="21"/>
        </w:rPr>
        <w:t>Die Grundgebühr wird grundsätzlich bei allen im Gebiet einer Gemeinde bzw. eines Verbandes ansässigen Haushalten und Unternehmen mit weniger als 250 Vollzeitstellen erhoben. Die Grundgebühr lässt sich entweder bei den Haushalten bzw. Unternehmen direkt einfordern oder den Liegenschaftseigentümern, die diese in der Regel ihren Mietern überwälzen, in Rechnung stellen. Verfügt ein Unternehmen mit weniger als 250 Vollzeitstellen über mehrere Betriebsstandorte, sogenannte Unternehmenseinheiten, so schuldet grundsätzlich jede einzelne davon ihrer Standortgemeinde eine Grundgebühr.</w:t>
      </w:r>
    </w:p>
    <w:p w:rsidR="003120DD" w:rsidRDefault="003120DD" w:rsidP="003120DD">
      <w:pPr>
        <w:spacing w:line="360" w:lineRule="auto"/>
        <w:rPr>
          <w:rFonts w:cs="Arial"/>
          <w:sz w:val="21"/>
          <w:szCs w:val="21"/>
        </w:rPr>
      </w:pPr>
      <w:r>
        <w:rPr>
          <w:rFonts w:cs="Arial"/>
          <w:sz w:val="21"/>
          <w:szCs w:val="21"/>
        </w:rPr>
        <w:t xml:space="preserve">Die Grundgebühr wird auch dann fällig, wenn der Abfallinhaber die Entsorgungsdienstleistungen (zeitweise) nicht oder nur in reduzierter Form in Anspruch nimmt. Dies weil die notwendige Sammel- und Verwertungsinfrastruktur trotzdem aufrechterhalten und die Entsorgungsdienstleistungen des Gemeinwesens für sämtliche Siedlungsabfallinhaber seines Gebietes jederzeit gewährleistet werden müssen (Vorhalteleistung). Diese Vorhalteleistung wird auch für </w:t>
      </w:r>
      <w:proofErr w:type="gramStart"/>
      <w:r>
        <w:rPr>
          <w:rFonts w:cs="Arial"/>
          <w:sz w:val="21"/>
          <w:szCs w:val="21"/>
        </w:rPr>
        <w:t>leer stehende</w:t>
      </w:r>
      <w:proofErr w:type="gramEnd"/>
      <w:r>
        <w:rPr>
          <w:rFonts w:cs="Arial"/>
          <w:sz w:val="21"/>
          <w:szCs w:val="21"/>
        </w:rPr>
        <w:t xml:space="preserve"> Wohnungen oder Häuser (z. B. Ferienhaus) erbracht. </w:t>
      </w:r>
    </w:p>
    <w:p w:rsidR="000D7173" w:rsidRPr="000D7173" w:rsidRDefault="000D7173" w:rsidP="000D7173">
      <w:pPr>
        <w:pStyle w:val="NurText"/>
      </w:pPr>
    </w:p>
    <w:p w:rsidR="007947D1" w:rsidRPr="00241DC3" w:rsidRDefault="007947D1" w:rsidP="007A2F42">
      <w:pPr>
        <w:tabs>
          <w:tab w:val="decimal" w:pos="1134"/>
        </w:tabs>
        <w:spacing w:line="360" w:lineRule="auto"/>
        <w:rPr>
          <w:rFonts w:cs="Arial"/>
          <w:sz w:val="21"/>
          <w:szCs w:val="21"/>
        </w:rPr>
      </w:pPr>
    </w:p>
    <w:p w:rsidR="00573580" w:rsidRPr="00241DC3" w:rsidRDefault="007A2F42" w:rsidP="007A2F4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tabs>
          <w:tab w:val="decimal" w:pos="1134"/>
        </w:tabs>
        <w:rPr>
          <w:rFonts w:cs="Arial"/>
          <w:b/>
          <w:sz w:val="21"/>
          <w:szCs w:val="21"/>
        </w:rPr>
      </w:pPr>
      <w:r>
        <w:rPr>
          <w:rFonts w:cs="Arial"/>
          <w:b/>
          <w:sz w:val="21"/>
          <w:szCs w:val="21"/>
        </w:rPr>
        <w:t xml:space="preserve">Zu </w:t>
      </w:r>
      <w:r w:rsidR="00573580" w:rsidRPr="00241DC3">
        <w:rPr>
          <w:rFonts w:cs="Arial"/>
          <w:b/>
          <w:sz w:val="21"/>
          <w:szCs w:val="21"/>
        </w:rPr>
        <w:t>Art. 2</w:t>
      </w:r>
      <w:r w:rsidR="003120DD">
        <w:rPr>
          <w:rFonts w:cs="Arial"/>
          <w:b/>
          <w:sz w:val="21"/>
          <w:szCs w:val="21"/>
        </w:rPr>
        <w:t>3</w:t>
      </w:r>
    </w:p>
    <w:p w:rsidR="00573580" w:rsidRPr="00241DC3" w:rsidRDefault="00573580" w:rsidP="007947D1">
      <w:pPr>
        <w:tabs>
          <w:tab w:val="decimal" w:pos="1134"/>
        </w:tabs>
        <w:rPr>
          <w:rFonts w:cs="Arial"/>
          <w:sz w:val="21"/>
          <w:szCs w:val="21"/>
        </w:rPr>
      </w:pPr>
    </w:p>
    <w:p w:rsidR="003120DD" w:rsidRPr="003120DD" w:rsidRDefault="003120DD" w:rsidP="00573580">
      <w:pPr>
        <w:tabs>
          <w:tab w:val="left" w:pos="5184"/>
        </w:tabs>
        <w:spacing w:line="360" w:lineRule="auto"/>
        <w:rPr>
          <w:rFonts w:cs="Arial"/>
          <w:b/>
          <w:sz w:val="21"/>
          <w:szCs w:val="21"/>
        </w:rPr>
      </w:pPr>
      <w:r w:rsidRPr="003120DD">
        <w:rPr>
          <w:rFonts w:cs="Arial"/>
          <w:b/>
          <w:sz w:val="21"/>
          <w:szCs w:val="21"/>
        </w:rPr>
        <w:t>Abs. 1 und 2</w:t>
      </w:r>
    </w:p>
    <w:p w:rsidR="00573580" w:rsidRPr="00241DC3" w:rsidRDefault="00573580" w:rsidP="00573580">
      <w:pPr>
        <w:tabs>
          <w:tab w:val="left" w:pos="5184"/>
        </w:tabs>
        <w:spacing w:line="360" w:lineRule="auto"/>
        <w:rPr>
          <w:rFonts w:cs="Arial"/>
          <w:sz w:val="21"/>
          <w:szCs w:val="21"/>
        </w:rPr>
      </w:pPr>
      <w:r w:rsidRPr="003822BB">
        <w:rPr>
          <w:rFonts w:cs="Arial"/>
          <w:sz w:val="21"/>
          <w:szCs w:val="21"/>
        </w:rPr>
        <w:t>Die Gebührenansätze lassen sich kaum für einen längeren Zeitraum verbindlich fest</w:t>
      </w:r>
      <w:r w:rsidRPr="003822BB">
        <w:rPr>
          <w:rFonts w:cs="Arial"/>
          <w:sz w:val="21"/>
          <w:szCs w:val="21"/>
        </w:rPr>
        <w:softHyphen/>
        <w:t>set</w:t>
      </w:r>
      <w:r w:rsidRPr="003822BB">
        <w:rPr>
          <w:rFonts w:cs="Arial"/>
          <w:sz w:val="21"/>
          <w:szCs w:val="21"/>
        </w:rPr>
        <w:softHyphen/>
        <w:t xml:space="preserve">zen. Um die Kosten </w:t>
      </w:r>
      <w:r w:rsidR="003822BB" w:rsidRPr="003822BB">
        <w:rPr>
          <w:rFonts w:cs="Arial"/>
          <w:sz w:val="21"/>
          <w:szCs w:val="21"/>
        </w:rPr>
        <w:t>zur Finanzierung der Abfallbewirtschaftung</w:t>
      </w:r>
      <w:r w:rsidRPr="003822BB">
        <w:rPr>
          <w:rFonts w:cs="Arial"/>
          <w:sz w:val="21"/>
          <w:szCs w:val="21"/>
        </w:rPr>
        <w:t xml:space="preserve"> längerfristig decken zu können, </w:t>
      </w:r>
      <w:r w:rsidR="00A331B8">
        <w:rPr>
          <w:rFonts w:cs="Arial"/>
          <w:sz w:val="21"/>
          <w:szCs w:val="21"/>
        </w:rPr>
        <w:t>sind</w:t>
      </w:r>
      <w:r w:rsidRPr="003822BB">
        <w:rPr>
          <w:rFonts w:cs="Arial"/>
          <w:sz w:val="21"/>
          <w:szCs w:val="21"/>
        </w:rPr>
        <w:t xml:space="preserve"> Gebührenanpassungen </w:t>
      </w:r>
      <w:r w:rsidR="00A331B8">
        <w:rPr>
          <w:rFonts w:cs="Arial"/>
          <w:sz w:val="21"/>
          <w:szCs w:val="21"/>
        </w:rPr>
        <w:t>nicht auszuschliessen</w:t>
      </w:r>
      <w:r w:rsidRPr="003822BB">
        <w:rPr>
          <w:rFonts w:cs="Arial"/>
          <w:sz w:val="21"/>
          <w:szCs w:val="21"/>
        </w:rPr>
        <w:t>. Um hier nicht jedes Mal das Reglement än</w:t>
      </w:r>
      <w:r w:rsidRPr="003822BB">
        <w:rPr>
          <w:rFonts w:cs="Arial"/>
          <w:sz w:val="21"/>
          <w:szCs w:val="21"/>
        </w:rPr>
        <w:softHyphen/>
        <w:t xml:space="preserve">dern zu müssen, </w:t>
      </w:r>
      <w:r w:rsidR="00A331B8">
        <w:rPr>
          <w:rFonts w:cs="Arial"/>
          <w:sz w:val="21"/>
          <w:szCs w:val="21"/>
        </w:rPr>
        <w:t>ist es zweckmässig</w:t>
      </w:r>
      <w:r w:rsidRPr="003822BB">
        <w:rPr>
          <w:rFonts w:cs="Arial"/>
          <w:sz w:val="21"/>
          <w:szCs w:val="21"/>
        </w:rPr>
        <w:t xml:space="preserve">, </w:t>
      </w:r>
      <w:r w:rsidRPr="007A2F42">
        <w:rPr>
          <w:rFonts w:cs="Arial"/>
          <w:sz w:val="21"/>
          <w:szCs w:val="21"/>
        </w:rPr>
        <w:t xml:space="preserve">wenn der Gemeinderat einen Gebührentarif zum </w:t>
      </w:r>
      <w:r w:rsidR="007A2F42">
        <w:rPr>
          <w:rFonts w:cs="Arial"/>
          <w:sz w:val="21"/>
          <w:szCs w:val="21"/>
        </w:rPr>
        <w:t>Abfall</w:t>
      </w:r>
      <w:r w:rsidRPr="007A2F42">
        <w:rPr>
          <w:rFonts w:cs="Arial"/>
          <w:sz w:val="21"/>
          <w:szCs w:val="21"/>
        </w:rPr>
        <w:t>reglement erlässt</w:t>
      </w:r>
      <w:r w:rsidR="007A2F42">
        <w:rPr>
          <w:rFonts w:cs="Arial"/>
          <w:sz w:val="21"/>
          <w:szCs w:val="21"/>
        </w:rPr>
        <w:t xml:space="preserve"> oder die </w:t>
      </w:r>
      <w:r w:rsidR="003822BB">
        <w:rPr>
          <w:rFonts w:cs="Arial"/>
          <w:sz w:val="21"/>
          <w:szCs w:val="21"/>
        </w:rPr>
        <w:t xml:space="preserve">Höhe der </w:t>
      </w:r>
      <w:r w:rsidR="007A2F42">
        <w:rPr>
          <w:rFonts w:cs="Arial"/>
          <w:sz w:val="21"/>
          <w:szCs w:val="21"/>
        </w:rPr>
        <w:t>Gebühren in der Abfallverordnung regelt</w:t>
      </w:r>
      <w:r w:rsidRPr="007A2F42">
        <w:rPr>
          <w:rFonts w:cs="Arial"/>
          <w:sz w:val="21"/>
          <w:szCs w:val="21"/>
        </w:rPr>
        <w:t xml:space="preserve">. Es genügt, wenn im </w:t>
      </w:r>
      <w:r w:rsidR="007A2F42" w:rsidRPr="007A2F42">
        <w:rPr>
          <w:rFonts w:cs="Arial"/>
          <w:sz w:val="21"/>
          <w:szCs w:val="21"/>
        </w:rPr>
        <w:t>Abfall</w:t>
      </w:r>
      <w:r w:rsidRPr="007A2F42">
        <w:rPr>
          <w:rFonts w:cs="Arial"/>
          <w:sz w:val="21"/>
          <w:szCs w:val="21"/>
        </w:rPr>
        <w:t>reglement die Grundsätze der Ge</w:t>
      </w:r>
      <w:r w:rsidRPr="007A2F42">
        <w:rPr>
          <w:rFonts w:cs="Arial"/>
          <w:sz w:val="21"/>
          <w:szCs w:val="21"/>
        </w:rPr>
        <w:softHyphen/>
        <w:t>bührenerhebung, nämlich die gebüh</w:t>
      </w:r>
      <w:r w:rsidRPr="007A2F42">
        <w:rPr>
          <w:rFonts w:cs="Arial"/>
          <w:sz w:val="21"/>
          <w:szCs w:val="21"/>
        </w:rPr>
        <w:softHyphen/>
        <w:t>ren</w:t>
      </w:r>
      <w:r w:rsidRPr="007A2F42">
        <w:rPr>
          <w:rFonts w:cs="Arial"/>
          <w:sz w:val="21"/>
          <w:szCs w:val="21"/>
        </w:rPr>
        <w:softHyphen/>
        <w:t>pflichtigen Personen (Abgabesubjekte), der Ge</w:t>
      </w:r>
      <w:r w:rsidRPr="007A2F42">
        <w:rPr>
          <w:rFonts w:cs="Arial"/>
          <w:sz w:val="21"/>
          <w:szCs w:val="21"/>
        </w:rPr>
        <w:softHyphen/>
        <w:t>gen</w:t>
      </w:r>
      <w:r w:rsidRPr="007A2F42">
        <w:rPr>
          <w:rFonts w:cs="Arial"/>
          <w:sz w:val="21"/>
          <w:szCs w:val="21"/>
        </w:rPr>
        <w:softHyphen/>
        <w:t>stand der Gebühr und die Bemessungsgrundlagen, festge</w:t>
      </w:r>
      <w:r w:rsidRPr="007A2F42">
        <w:rPr>
          <w:rFonts w:cs="Arial"/>
          <w:sz w:val="21"/>
          <w:szCs w:val="21"/>
        </w:rPr>
        <w:softHyphen/>
        <w:t>hal</w:t>
      </w:r>
      <w:r w:rsidRPr="007A2F42">
        <w:rPr>
          <w:rFonts w:cs="Arial"/>
          <w:sz w:val="21"/>
          <w:szCs w:val="21"/>
        </w:rPr>
        <w:softHyphen/>
        <w:t>ten werden. Die Festsetzung der wertmässigen Ansätze der Gebühr, also der Betrag in Fran</w:t>
      </w:r>
      <w:r w:rsidRPr="007A2F42">
        <w:rPr>
          <w:rFonts w:cs="Arial"/>
          <w:sz w:val="21"/>
          <w:szCs w:val="21"/>
        </w:rPr>
        <w:softHyphen/>
        <w:t>ken und Rappen, kann an den Gemeinderat delegiert werden (vgl. GVP 1981 Nr. 49, S. 84).</w:t>
      </w:r>
    </w:p>
    <w:p w:rsidR="00333861" w:rsidRPr="00333861" w:rsidRDefault="00333861" w:rsidP="00333861">
      <w:pPr>
        <w:pStyle w:val="NurText"/>
      </w:pPr>
    </w:p>
    <w:p w:rsidR="00F74B1F" w:rsidRPr="00F74B1F" w:rsidRDefault="00F74B1F" w:rsidP="00F74B1F">
      <w:pPr>
        <w:pStyle w:val="NurText"/>
        <w:rPr>
          <w:rFonts w:ascii="Arial" w:hAnsi="Arial" w:cs="Arial"/>
          <w:b/>
        </w:rPr>
      </w:pPr>
      <w:r w:rsidRPr="00F74B1F">
        <w:rPr>
          <w:rFonts w:ascii="Arial" w:hAnsi="Arial" w:cs="Arial"/>
          <w:b/>
        </w:rPr>
        <w:t>Abs. 3</w:t>
      </w:r>
    </w:p>
    <w:p w:rsidR="00F74B1F" w:rsidRPr="00F74B1F" w:rsidRDefault="00F74B1F" w:rsidP="00F74B1F">
      <w:pPr>
        <w:pStyle w:val="NurText"/>
      </w:pPr>
    </w:p>
    <w:p w:rsidR="00573580" w:rsidRDefault="00C35070" w:rsidP="00C35070">
      <w:pPr>
        <w:tabs>
          <w:tab w:val="decimal" w:pos="1134"/>
        </w:tabs>
        <w:spacing w:line="360" w:lineRule="auto"/>
        <w:rPr>
          <w:rFonts w:cs="Arial"/>
          <w:sz w:val="21"/>
          <w:szCs w:val="21"/>
        </w:rPr>
      </w:pPr>
      <w:r>
        <w:rPr>
          <w:rFonts w:cs="Arial"/>
          <w:sz w:val="21"/>
          <w:szCs w:val="21"/>
        </w:rPr>
        <w:t xml:space="preserve">Art.32a Abs. 4 USG verpflichtet die Gemeinde, die Berechnungsgrundlagen öffentlich zugänglich zu machen (Transparenzprinzip). </w:t>
      </w:r>
    </w:p>
    <w:p w:rsidR="00867BF6" w:rsidRPr="00867BF6" w:rsidRDefault="00867BF6" w:rsidP="00867BF6">
      <w:pPr>
        <w:pStyle w:val="NurText"/>
      </w:pPr>
    </w:p>
    <w:p w:rsidR="00573580" w:rsidRPr="00241DC3" w:rsidRDefault="00573580" w:rsidP="007947D1">
      <w:pPr>
        <w:tabs>
          <w:tab w:val="decimal" w:pos="1134"/>
        </w:tabs>
        <w:rPr>
          <w:rFonts w:cs="Arial"/>
          <w:sz w:val="21"/>
          <w:szCs w:val="21"/>
        </w:rPr>
      </w:pPr>
    </w:p>
    <w:p w:rsidR="00573580" w:rsidRPr="00241DC3" w:rsidRDefault="00E05220" w:rsidP="00E05220">
      <w:pPr>
        <w:pBdr>
          <w:top w:val="single" w:sz="4" w:space="1" w:color="auto"/>
          <w:left w:val="single" w:sz="4" w:space="4" w:color="auto"/>
          <w:bottom w:val="single" w:sz="4" w:space="1" w:color="auto"/>
          <w:right w:val="single" w:sz="4" w:space="4" w:color="auto"/>
        </w:pBdr>
        <w:shd w:val="clear" w:color="auto" w:fill="F2F2F2" w:themeFill="background1" w:themeFillShade="F2"/>
        <w:tabs>
          <w:tab w:val="decimal" w:pos="1134"/>
        </w:tabs>
        <w:rPr>
          <w:rFonts w:cs="Arial"/>
          <w:b/>
          <w:sz w:val="21"/>
          <w:szCs w:val="21"/>
        </w:rPr>
      </w:pPr>
      <w:r>
        <w:rPr>
          <w:rFonts w:cs="Arial"/>
          <w:b/>
          <w:sz w:val="21"/>
          <w:szCs w:val="21"/>
        </w:rPr>
        <w:t xml:space="preserve">Zu </w:t>
      </w:r>
      <w:r w:rsidR="00573580" w:rsidRPr="00241DC3">
        <w:rPr>
          <w:rFonts w:cs="Arial"/>
          <w:b/>
          <w:sz w:val="21"/>
          <w:szCs w:val="21"/>
        </w:rPr>
        <w:t>Art. 2</w:t>
      </w:r>
      <w:r>
        <w:rPr>
          <w:rFonts w:cs="Arial"/>
          <w:b/>
          <w:sz w:val="21"/>
          <w:szCs w:val="21"/>
        </w:rPr>
        <w:t>4</w:t>
      </w:r>
    </w:p>
    <w:p w:rsidR="007947D1" w:rsidRPr="00241DC3" w:rsidRDefault="007947D1" w:rsidP="007947D1">
      <w:pPr>
        <w:tabs>
          <w:tab w:val="decimal" w:pos="1134"/>
        </w:tabs>
        <w:rPr>
          <w:rFonts w:cs="Arial"/>
          <w:sz w:val="21"/>
          <w:szCs w:val="21"/>
        </w:rPr>
      </w:pPr>
    </w:p>
    <w:p w:rsidR="00573580" w:rsidRPr="00241DC3" w:rsidRDefault="00573580" w:rsidP="007947D1">
      <w:pPr>
        <w:tabs>
          <w:tab w:val="decimal" w:pos="1134"/>
        </w:tabs>
        <w:rPr>
          <w:rFonts w:cs="Arial"/>
          <w:sz w:val="21"/>
          <w:szCs w:val="21"/>
        </w:rPr>
      </w:pPr>
    </w:p>
    <w:p w:rsidR="00573580" w:rsidRPr="00241DC3" w:rsidRDefault="00573580" w:rsidP="007947D1">
      <w:pPr>
        <w:tabs>
          <w:tab w:val="decimal" w:pos="1134"/>
        </w:tabs>
        <w:rPr>
          <w:rFonts w:cs="Arial"/>
          <w:b/>
          <w:sz w:val="21"/>
          <w:szCs w:val="21"/>
        </w:rPr>
      </w:pPr>
      <w:r w:rsidRPr="00241DC3">
        <w:rPr>
          <w:rFonts w:cs="Arial"/>
          <w:b/>
          <w:sz w:val="21"/>
          <w:szCs w:val="21"/>
        </w:rPr>
        <w:t>Abs. 1</w:t>
      </w:r>
    </w:p>
    <w:p w:rsidR="00573580" w:rsidRPr="00241DC3" w:rsidRDefault="00573580" w:rsidP="00573580">
      <w:pPr>
        <w:tabs>
          <w:tab w:val="left" w:pos="5184"/>
        </w:tabs>
        <w:spacing w:line="288" w:lineRule="exact"/>
        <w:rPr>
          <w:rFonts w:cs="Arial"/>
          <w:sz w:val="21"/>
          <w:szCs w:val="21"/>
        </w:rPr>
      </w:pPr>
      <w:r w:rsidRPr="00241DC3">
        <w:rPr>
          <w:rFonts w:cs="Arial"/>
          <w:sz w:val="21"/>
          <w:szCs w:val="21"/>
        </w:rPr>
        <w:t xml:space="preserve">Die Festlegung des Fälligkeitszeitpunktes ist zwingende Voraussetzung für die Erhebung eines Verzugszinses. Er ist in der </w:t>
      </w:r>
      <w:proofErr w:type="spellStart"/>
      <w:r w:rsidRPr="00241DC3">
        <w:rPr>
          <w:rFonts w:cs="Arial"/>
          <w:sz w:val="21"/>
          <w:szCs w:val="21"/>
        </w:rPr>
        <w:t>Gebührenechnung</w:t>
      </w:r>
      <w:proofErr w:type="spellEnd"/>
      <w:r w:rsidRPr="00241DC3">
        <w:rPr>
          <w:rFonts w:cs="Arial"/>
          <w:sz w:val="21"/>
          <w:szCs w:val="21"/>
        </w:rPr>
        <w:t xml:space="preserve"> anzuführen.  </w:t>
      </w:r>
    </w:p>
    <w:p w:rsidR="00573580" w:rsidRPr="00241DC3" w:rsidRDefault="00573580" w:rsidP="00573580">
      <w:pPr>
        <w:tabs>
          <w:tab w:val="left" w:pos="5184"/>
        </w:tabs>
        <w:spacing w:line="288" w:lineRule="exact"/>
        <w:rPr>
          <w:rFonts w:cs="Arial"/>
          <w:sz w:val="21"/>
          <w:szCs w:val="21"/>
          <w:highlight w:val="yellow"/>
        </w:rPr>
      </w:pPr>
    </w:p>
    <w:p w:rsidR="00573580" w:rsidRPr="00C35070" w:rsidRDefault="00C35070" w:rsidP="00573580">
      <w:pPr>
        <w:tabs>
          <w:tab w:val="left" w:pos="5184"/>
        </w:tabs>
        <w:spacing w:line="288" w:lineRule="exact"/>
        <w:rPr>
          <w:rFonts w:cs="Arial"/>
          <w:b/>
          <w:sz w:val="21"/>
          <w:szCs w:val="21"/>
        </w:rPr>
      </w:pPr>
      <w:r w:rsidRPr="00C35070">
        <w:rPr>
          <w:rFonts w:cs="Arial"/>
          <w:b/>
          <w:sz w:val="21"/>
          <w:szCs w:val="21"/>
        </w:rPr>
        <w:t>Abs. 3</w:t>
      </w:r>
    </w:p>
    <w:p w:rsidR="00573580" w:rsidRPr="00241DC3" w:rsidRDefault="00573580" w:rsidP="00573580">
      <w:pPr>
        <w:tabs>
          <w:tab w:val="left" w:pos="5184"/>
        </w:tabs>
        <w:spacing w:line="288" w:lineRule="exact"/>
        <w:rPr>
          <w:rFonts w:cs="Arial"/>
          <w:sz w:val="21"/>
          <w:szCs w:val="21"/>
          <w:highlight w:val="yellow"/>
        </w:rPr>
      </w:pPr>
    </w:p>
    <w:p w:rsidR="00573580" w:rsidRPr="00C35070" w:rsidRDefault="00573580" w:rsidP="00573580">
      <w:pPr>
        <w:tabs>
          <w:tab w:val="left" w:pos="5184"/>
        </w:tabs>
        <w:spacing w:line="288" w:lineRule="exact"/>
        <w:rPr>
          <w:rFonts w:cs="Arial"/>
          <w:sz w:val="21"/>
          <w:szCs w:val="21"/>
        </w:rPr>
      </w:pPr>
      <w:r w:rsidRPr="00C35070">
        <w:rPr>
          <w:rFonts w:cs="Arial"/>
          <w:sz w:val="21"/>
          <w:szCs w:val="21"/>
        </w:rPr>
        <w:t>Auf Grund der neueren Rechtsprechung zu den Anforderungen an die Erhebung von Ver</w:t>
      </w:r>
      <w:r w:rsidRPr="00C35070">
        <w:rPr>
          <w:rFonts w:cs="Arial"/>
          <w:sz w:val="21"/>
          <w:szCs w:val="21"/>
        </w:rPr>
        <w:softHyphen/>
        <w:t>zugszinsen im Zusammenhang mit ausstehenden Kausalabgaben empfehlen wir die Aufnah</w:t>
      </w:r>
      <w:r w:rsidRPr="00C35070">
        <w:rPr>
          <w:rFonts w:cs="Arial"/>
          <w:sz w:val="21"/>
          <w:szCs w:val="21"/>
        </w:rPr>
        <w:softHyphen/>
        <w:t>me einer entsprechen</w:t>
      </w:r>
      <w:r w:rsidRPr="00C35070">
        <w:rPr>
          <w:rFonts w:cs="Arial"/>
          <w:sz w:val="21"/>
          <w:szCs w:val="21"/>
        </w:rPr>
        <w:softHyphen/>
        <w:t>den Bestim</w:t>
      </w:r>
      <w:r w:rsidRPr="00C35070">
        <w:rPr>
          <w:rFonts w:cs="Arial"/>
          <w:sz w:val="21"/>
          <w:szCs w:val="21"/>
        </w:rPr>
        <w:softHyphen/>
        <w:t xml:space="preserve">mung ins </w:t>
      </w:r>
      <w:r w:rsidR="00C35070" w:rsidRPr="00C35070">
        <w:rPr>
          <w:rFonts w:cs="Arial"/>
          <w:sz w:val="21"/>
          <w:szCs w:val="21"/>
        </w:rPr>
        <w:t>Abfall</w:t>
      </w:r>
      <w:r w:rsidRPr="00C35070">
        <w:rPr>
          <w:rFonts w:cs="Arial"/>
          <w:sz w:val="21"/>
          <w:szCs w:val="21"/>
        </w:rPr>
        <w:softHyphen/>
        <w:t>reglement. Dabei wird vorgeschlagen, den für Steuer</w:t>
      </w:r>
      <w:r w:rsidRPr="00C35070">
        <w:rPr>
          <w:rFonts w:cs="Arial"/>
          <w:sz w:val="21"/>
          <w:szCs w:val="21"/>
        </w:rPr>
        <w:softHyphen/>
        <w:t>forderun</w:t>
      </w:r>
      <w:r w:rsidRPr="00C35070">
        <w:rPr>
          <w:rFonts w:cs="Arial"/>
          <w:sz w:val="21"/>
          <w:szCs w:val="21"/>
        </w:rPr>
        <w:softHyphen/>
        <w:t>gen geltenden Ver</w:t>
      </w:r>
      <w:r w:rsidRPr="00C35070">
        <w:rPr>
          <w:rFonts w:cs="Arial"/>
          <w:sz w:val="21"/>
          <w:szCs w:val="21"/>
        </w:rPr>
        <w:softHyphen/>
        <w:t xml:space="preserve">zugszinssatz nach dem periodisch </w:t>
      </w:r>
      <w:proofErr w:type="spellStart"/>
      <w:r w:rsidRPr="00C35070">
        <w:rPr>
          <w:rFonts w:cs="Arial"/>
          <w:sz w:val="21"/>
          <w:szCs w:val="21"/>
        </w:rPr>
        <w:t>aktualiserten</w:t>
      </w:r>
      <w:proofErr w:type="spellEnd"/>
      <w:r w:rsidRPr="00C35070">
        <w:rPr>
          <w:rFonts w:cs="Arial"/>
          <w:sz w:val="21"/>
          <w:szCs w:val="21"/>
        </w:rPr>
        <w:t xml:space="preserve"> Regie</w:t>
      </w:r>
      <w:r w:rsidRPr="00C35070">
        <w:rPr>
          <w:rFonts w:cs="Arial"/>
          <w:sz w:val="21"/>
          <w:szCs w:val="21"/>
        </w:rPr>
        <w:softHyphen/>
        <w:t>rungs</w:t>
      </w:r>
      <w:r w:rsidRPr="00C35070">
        <w:rPr>
          <w:rFonts w:cs="Arial"/>
          <w:sz w:val="21"/>
          <w:szCs w:val="21"/>
        </w:rPr>
        <w:softHyphen/>
        <w:t>be</w:t>
      </w:r>
      <w:r w:rsidRPr="00C35070">
        <w:rPr>
          <w:rFonts w:cs="Arial"/>
          <w:sz w:val="21"/>
          <w:szCs w:val="21"/>
        </w:rPr>
        <w:softHyphen/>
        <w:t xml:space="preserve">schluss über die Ausgleichs-, Verzugs- und </w:t>
      </w:r>
      <w:proofErr w:type="spellStart"/>
      <w:r w:rsidRPr="00C35070">
        <w:rPr>
          <w:rFonts w:cs="Arial"/>
          <w:sz w:val="21"/>
          <w:szCs w:val="21"/>
        </w:rPr>
        <w:t>Rückserstattungszinsen</w:t>
      </w:r>
      <w:proofErr w:type="spellEnd"/>
      <w:r w:rsidRPr="00C35070">
        <w:rPr>
          <w:rFonts w:cs="Arial"/>
          <w:sz w:val="21"/>
          <w:szCs w:val="21"/>
        </w:rPr>
        <w:t xml:space="preserve"> für Steuerbeträge (sGS 811.14) für an</w:t>
      </w:r>
      <w:r w:rsidRPr="00C35070">
        <w:rPr>
          <w:rFonts w:cs="Arial"/>
          <w:sz w:val="21"/>
          <w:szCs w:val="21"/>
        </w:rPr>
        <w:softHyphen/>
        <w:t>wendbar zu erklären.</w:t>
      </w:r>
    </w:p>
    <w:p w:rsidR="00573580" w:rsidRPr="00241DC3" w:rsidRDefault="00573580" w:rsidP="00573580">
      <w:pPr>
        <w:tabs>
          <w:tab w:val="left" w:pos="5184"/>
        </w:tabs>
        <w:spacing w:line="288" w:lineRule="exact"/>
        <w:rPr>
          <w:rFonts w:cs="Arial"/>
          <w:sz w:val="21"/>
          <w:szCs w:val="21"/>
          <w:highlight w:val="yellow"/>
        </w:rPr>
      </w:pPr>
    </w:p>
    <w:p w:rsidR="00573580" w:rsidRPr="00C35070" w:rsidRDefault="00573580" w:rsidP="00573580">
      <w:pPr>
        <w:tabs>
          <w:tab w:val="left" w:pos="5184"/>
        </w:tabs>
        <w:spacing w:line="288" w:lineRule="exact"/>
        <w:rPr>
          <w:rFonts w:cs="Arial"/>
          <w:sz w:val="21"/>
          <w:szCs w:val="21"/>
        </w:rPr>
      </w:pPr>
      <w:r w:rsidRPr="00C35070">
        <w:rPr>
          <w:rFonts w:cs="Arial"/>
          <w:sz w:val="21"/>
          <w:szCs w:val="21"/>
        </w:rPr>
        <w:t xml:space="preserve">Es sollte in jeder </w:t>
      </w:r>
      <w:proofErr w:type="spellStart"/>
      <w:r w:rsidRPr="00C35070">
        <w:rPr>
          <w:rFonts w:cs="Arial"/>
          <w:sz w:val="21"/>
          <w:szCs w:val="21"/>
        </w:rPr>
        <w:t>Gebührenechnung</w:t>
      </w:r>
      <w:proofErr w:type="spellEnd"/>
      <w:r w:rsidRPr="00C35070">
        <w:rPr>
          <w:rFonts w:cs="Arial"/>
          <w:sz w:val="21"/>
          <w:szCs w:val="21"/>
        </w:rPr>
        <w:t xml:space="preserve"> ausdrücklich auf die Verzugsfolgen hingewiesen werden. </w:t>
      </w:r>
    </w:p>
    <w:p w:rsidR="00573580" w:rsidRPr="00241DC3" w:rsidRDefault="00573580" w:rsidP="00573580">
      <w:pPr>
        <w:tabs>
          <w:tab w:val="left" w:pos="5184"/>
        </w:tabs>
        <w:spacing w:line="288" w:lineRule="exact"/>
        <w:rPr>
          <w:rFonts w:cs="Arial"/>
          <w:sz w:val="21"/>
          <w:szCs w:val="21"/>
          <w:highlight w:val="yellow"/>
        </w:rPr>
      </w:pPr>
    </w:p>
    <w:p w:rsidR="00573580" w:rsidRPr="00C35070" w:rsidRDefault="00573580" w:rsidP="00573580">
      <w:pPr>
        <w:tabs>
          <w:tab w:val="left" w:pos="5184"/>
        </w:tabs>
        <w:spacing w:line="288" w:lineRule="exact"/>
        <w:rPr>
          <w:rFonts w:cs="Arial"/>
          <w:sz w:val="21"/>
          <w:szCs w:val="21"/>
        </w:rPr>
      </w:pPr>
      <w:r w:rsidRPr="00C35070">
        <w:rPr>
          <w:rFonts w:cs="Arial"/>
          <w:sz w:val="21"/>
          <w:szCs w:val="21"/>
        </w:rPr>
        <w:t xml:space="preserve">In Anlehnung an Art. 215 des Steuergesetzes (sGS 811.1; abgekürzt </w:t>
      </w:r>
      <w:proofErr w:type="spellStart"/>
      <w:r w:rsidRPr="00C35070">
        <w:rPr>
          <w:rFonts w:cs="Arial"/>
          <w:sz w:val="21"/>
          <w:szCs w:val="21"/>
        </w:rPr>
        <w:t>StG</w:t>
      </w:r>
      <w:proofErr w:type="spellEnd"/>
      <w:r w:rsidRPr="00C35070">
        <w:rPr>
          <w:rFonts w:cs="Arial"/>
          <w:sz w:val="21"/>
          <w:szCs w:val="21"/>
        </w:rPr>
        <w:t xml:space="preserve">) kann sodann in der Bestimmung über </w:t>
      </w:r>
      <w:proofErr w:type="gramStart"/>
      <w:r w:rsidRPr="00C35070">
        <w:rPr>
          <w:rFonts w:cs="Arial"/>
          <w:sz w:val="21"/>
          <w:szCs w:val="21"/>
        </w:rPr>
        <w:t>den Verzugszinserhebung</w:t>
      </w:r>
      <w:proofErr w:type="gramEnd"/>
      <w:r w:rsidRPr="00C35070">
        <w:rPr>
          <w:rFonts w:cs="Arial"/>
          <w:sz w:val="21"/>
          <w:szCs w:val="21"/>
        </w:rPr>
        <w:t xml:space="preserve"> geregelt werden, dass bei geringfügigem Ver</w:t>
      </w:r>
      <w:r w:rsidRPr="00C35070">
        <w:rPr>
          <w:rFonts w:cs="Arial"/>
          <w:sz w:val="21"/>
          <w:szCs w:val="21"/>
        </w:rPr>
        <w:softHyphen/>
        <w:t>zugszins (vgl. dazu Art. 88 Abs. 2 der Steuer</w:t>
      </w:r>
      <w:r w:rsidRPr="00C35070">
        <w:rPr>
          <w:rFonts w:cs="Arial"/>
          <w:sz w:val="21"/>
          <w:szCs w:val="21"/>
        </w:rPr>
        <w:softHyphen/>
        <w:t>verord</w:t>
      </w:r>
      <w:r w:rsidRPr="00C35070">
        <w:rPr>
          <w:rFonts w:cs="Arial"/>
          <w:sz w:val="21"/>
          <w:szCs w:val="21"/>
        </w:rPr>
        <w:softHyphen/>
        <w:t xml:space="preserve">nung, sGS 811.11, wonach Beträge bis zu 50 Franken als geringfügig im Sinne von Art. 215 </w:t>
      </w:r>
      <w:proofErr w:type="spellStart"/>
      <w:r w:rsidRPr="00C35070">
        <w:rPr>
          <w:rFonts w:cs="Arial"/>
          <w:sz w:val="21"/>
          <w:szCs w:val="21"/>
        </w:rPr>
        <w:t>StG</w:t>
      </w:r>
      <w:proofErr w:type="spellEnd"/>
      <w:r w:rsidRPr="00C35070">
        <w:rPr>
          <w:rFonts w:cs="Arial"/>
          <w:sz w:val="21"/>
          <w:szCs w:val="21"/>
        </w:rPr>
        <w:t xml:space="preserve"> bezeichnet werden) auf einen Bezug verzichtet wird.  </w:t>
      </w:r>
    </w:p>
    <w:p w:rsidR="00573580" w:rsidRPr="00C35070" w:rsidRDefault="00573580" w:rsidP="00573580">
      <w:pPr>
        <w:tabs>
          <w:tab w:val="left" w:pos="5184"/>
        </w:tabs>
        <w:spacing w:line="288" w:lineRule="exact"/>
        <w:rPr>
          <w:rFonts w:cs="Arial"/>
          <w:sz w:val="21"/>
          <w:szCs w:val="21"/>
        </w:rPr>
      </w:pPr>
      <w:r w:rsidRPr="00C35070">
        <w:rPr>
          <w:rFonts w:cs="Arial"/>
          <w:sz w:val="21"/>
          <w:szCs w:val="21"/>
        </w:rPr>
        <w:tab/>
      </w:r>
    </w:p>
    <w:p w:rsidR="00573580" w:rsidRPr="00C35070" w:rsidRDefault="00573580" w:rsidP="00573580">
      <w:pPr>
        <w:tabs>
          <w:tab w:val="left" w:pos="5184"/>
        </w:tabs>
        <w:spacing w:line="288" w:lineRule="exact"/>
        <w:rPr>
          <w:rFonts w:cs="Arial"/>
          <w:sz w:val="21"/>
          <w:szCs w:val="21"/>
        </w:rPr>
      </w:pPr>
    </w:p>
    <w:p w:rsidR="00573580" w:rsidRPr="00241DC3" w:rsidRDefault="00573580" w:rsidP="00573580">
      <w:pPr>
        <w:tabs>
          <w:tab w:val="left" w:pos="5184"/>
        </w:tabs>
        <w:spacing w:line="288" w:lineRule="exact"/>
        <w:rPr>
          <w:rFonts w:cs="Arial"/>
          <w:sz w:val="21"/>
          <w:szCs w:val="21"/>
        </w:rPr>
      </w:pPr>
    </w:p>
    <w:p w:rsidR="007947D1" w:rsidRPr="00241DC3" w:rsidRDefault="007947D1" w:rsidP="007947D1">
      <w:pPr>
        <w:tabs>
          <w:tab w:val="decimal" w:pos="1134"/>
        </w:tabs>
        <w:rPr>
          <w:rFonts w:cs="Arial"/>
          <w:sz w:val="21"/>
          <w:szCs w:val="21"/>
        </w:rPr>
      </w:pPr>
    </w:p>
    <w:sectPr w:rsidR="007947D1" w:rsidRPr="00241DC3">
      <w:headerReference w:type="default" r:id="rId11"/>
      <w:footerReference w:type="default" r:id="rId12"/>
      <w:footerReference w:type="first" r:id="rId13"/>
      <w:pgSz w:w="11907" w:h="16840"/>
      <w:pgMar w:top="624" w:right="1247" w:bottom="624" w:left="136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30C6" w:rsidRDefault="003830C6">
      <w:r>
        <w:separator/>
      </w:r>
    </w:p>
  </w:endnote>
  <w:endnote w:type="continuationSeparator" w:id="0">
    <w:p w:rsidR="003830C6" w:rsidRDefault="003830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Relevant">
    <w:altName w:val="Relevant"/>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5DEC" w:rsidRDefault="00355DEC">
    <w:pPr>
      <w:pStyle w:val="Fuzeile"/>
    </w:pPr>
  </w:p>
  <w:p w:rsidR="00910053" w:rsidRDefault="00910053" w:rsidP="00910053">
    <w:pPr>
      <w:pStyle w:val="Fuzeile"/>
    </w:pPr>
    <w:r>
      <w:t>AFU / AnM / 15.02.2019 / Version 1.0</w:t>
    </w:r>
  </w:p>
  <w:p w:rsidR="00910053" w:rsidRDefault="00910053" w:rsidP="00910053">
    <w:pPr>
      <w:pStyle w:val="Fuzeile"/>
    </w:pPr>
  </w:p>
  <w:p w:rsidR="00355DEC" w:rsidRDefault="00355DE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0053" w:rsidRDefault="00910053" w:rsidP="00910053">
    <w:pPr>
      <w:pStyle w:val="Fuzeile"/>
    </w:pPr>
    <w:r>
      <w:t>AFU / AnM / 15.02.2019 / Version 1.0</w:t>
    </w:r>
  </w:p>
  <w:p w:rsidR="00910053" w:rsidRDefault="00910053" w:rsidP="00910053">
    <w:pPr>
      <w:pStyle w:val="Fuzeile"/>
    </w:pPr>
  </w:p>
  <w:p w:rsidR="00355DEC" w:rsidRDefault="00355DE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30C6" w:rsidRDefault="003830C6">
      <w:r>
        <w:separator/>
      </w:r>
    </w:p>
  </w:footnote>
  <w:footnote w:type="continuationSeparator" w:id="0">
    <w:p w:rsidR="003830C6" w:rsidRDefault="003830C6">
      <w:r>
        <w:continuationSeparator/>
      </w:r>
    </w:p>
  </w:footnote>
  <w:footnote w:id="1">
    <w:p w:rsidR="00B87829" w:rsidRPr="00B87829" w:rsidRDefault="00B87829" w:rsidP="00B87829">
      <w:pPr>
        <w:spacing w:line="360" w:lineRule="auto"/>
        <w:rPr>
          <w:rFonts w:cs="Relevant"/>
          <w:color w:val="000000"/>
          <w:sz w:val="18"/>
          <w:szCs w:val="18"/>
        </w:rPr>
      </w:pPr>
      <w:r w:rsidRPr="00B87829">
        <w:rPr>
          <w:rStyle w:val="Funotenzeichen"/>
          <w:sz w:val="18"/>
          <w:szCs w:val="18"/>
        </w:rPr>
        <w:footnoteRef/>
      </w:r>
      <w:r w:rsidRPr="00B87829">
        <w:rPr>
          <w:sz w:val="18"/>
          <w:szCs w:val="18"/>
        </w:rPr>
        <w:t xml:space="preserve"> </w:t>
      </w:r>
      <w:r w:rsidRPr="00B87829">
        <w:rPr>
          <w:rFonts w:cs="Relevant"/>
          <w:color w:val="000000"/>
          <w:sz w:val="18"/>
          <w:szCs w:val="18"/>
        </w:rPr>
        <w:t xml:space="preserve">Weitere Informationen dazu sind </w:t>
      </w:r>
      <w:r>
        <w:rPr>
          <w:rFonts w:cs="Relevant"/>
          <w:color w:val="000000"/>
          <w:sz w:val="18"/>
          <w:szCs w:val="18"/>
        </w:rPr>
        <w:t>in Ziff.</w:t>
      </w:r>
      <w:r w:rsidRPr="00B87829">
        <w:rPr>
          <w:rFonts w:cs="Relevant"/>
          <w:color w:val="000000"/>
          <w:sz w:val="18"/>
          <w:szCs w:val="18"/>
        </w:rPr>
        <w:t xml:space="preserve"> 3.3 der Vollzugshilfe BAFU 2018 </w:t>
      </w:r>
      <w:r>
        <w:rPr>
          <w:rFonts w:cs="Relevant"/>
          <w:color w:val="000000"/>
          <w:sz w:val="18"/>
          <w:szCs w:val="18"/>
        </w:rPr>
        <w:t>zu finden</w:t>
      </w:r>
      <w:r w:rsidRPr="00B87829">
        <w:rPr>
          <w:rFonts w:cs="Relevant"/>
          <w:color w:val="000000"/>
          <w:sz w:val="18"/>
          <w:szCs w:val="18"/>
        </w:rPr>
        <w:t>.</w:t>
      </w:r>
    </w:p>
    <w:p w:rsidR="00B87829" w:rsidRDefault="00B87829">
      <w:pPr>
        <w:pStyle w:val="Funotentext"/>
      </w:pPr>
    </w:p>
  </w:footnote>
  <w:footnote w:id="2">
    <w:p w:rsidR="00B87829" w:rsidRDefault="00B87829" w:rsidP="00D76D29">
      <w:pPr>
        <w:pStyle w:val="NurText"/>
        <w:spacing w:line="360" w:lineRule="auto"/>
      </w:pPr>
      <w:r w:rsidRPr="00B87829">
        <w:rPr>
          <w:rStyle w:val="Funotenzeichen"/>
          <w:rFonts w:ascii="Arial" w:hAnsi="Arial" w:cs="Arial"/>
          <w:sz w:val="18"/>
          <w:szCs w:val="18"/>
        </w:rPr>
        <w:footnoteRef/>
      </w:r>
      <w:r w:rsidRPr="00B87829">
        <w:rPr>
          <w:rFonts w:ascii="Arial" w:hAnsi="Arial" w:cs="Arial"/>
          <w:sz w:val="18"/>
          <w:szCs w:val="18"/>
        </w:rPr>
        <w:t xml:space="preserve"> </w:t>
      </w:r>
      <w:r w:rsidRPr="00B87829">
        <w:rPr>
          <w:rFonts w:ascii="Arial" w:hAnsi="Arial" w:cs="Arial"/>
          <w:color w:val="000000"/>
          <w:sz w:val="18"/>
          <w:szCs w:val="18"/>
        </w:rPr>
        <w:t xml:space="preserve">Weitere Informationen sind in </w:t>
      </w:r>
      <w:r>
        <w:rPr>
          <w:rFonts w:ascii="Arial" w:hAnsi="Arial" w:cs="Arial"/>
          <w:color w:val="000000"/>
          <w:sz w:val="18"/>
          <w:szCs w:val="18"/>
        </w:rPr>
        <w:t xml:space="preserve">Ziff. </w:t>
      </w:r>
      <w:r w:rsidRPr="00B87829">
        <w:rPr>
          <w:rFonts w:ascii="Arial" w:hAnsi="Arial" w:cs="Arial"/>
          <w:color w:val="000000"/>
          <w:sz w:val="18"/>
          <w:szCs w:val="18"/>
        </w:rPr>
        <w:t xml:space="preserve">3.1.2 der Vollzugshilfe BAFU 2018 </w:t>
      </w:r>
      <w:r>
        <w:rPr>
          <w:rFonts w:ascii="Arial" w:hAnsi="Arial" w:cs="Arial"/>
          <w:color w:val="000000"/>
          <w:sz w:val="18"/>
          <w:szCs w:val="18"/>
        </w:rPr>
        <w:t>zu finden.</w:t>
      </w:r>
    </w:p>
  </w:footnote>
  <w:footnote w:id="3">
    <w:p w:rsidR="00D76D29" w:rsidRPr="00D76D29" w:rsidRDefault="00D76D29" w:rsidP="00D76D29">
      <w:pPr>
        <w:pStyle w:val="NurText"/>
        <w:spacing w:line="360" w:lineRule="auto"/>
        <w:rPr>
          <w:rFonts w:ascii="Arial" w:hAnsi="Arial" w:cs="Arial"/>
          <w:sz w:val="18"/>
          <w:szCs w:val="18"/>
        </w:rPr>
      </w:pPr>
      <w:r w:rsidRPr="00D76D29">
        <w:rPr>
          <w:rStyle w:val="Funotenzeichen"/>
          <w:sz w:val="18"/>
          <w:szCs w:val="18"/>
        </w:rPr>
        <w:footnoteRef/>
      </w:r>
      <w:r>
        <w:rPr>
          <w:sz w:val="18"/>
          <w:szCs w:val="18"/>
        </w:rPr>
        <w:t xml:space="preserve"> </w:t>
      </w:r>
      <w:r w:rsidRPr="00D76D29">
        <w:rPr>
          <w:rFonts w:ascii="Arial" w:hAnsi="Arial" w:cs="Arial"/>
          <w:color w:val="000000"/>
          <w:sz w:val="18"/>
          <w:szCs w:val="18"/>
        </w:rPr>
        <w:t xml:space="preserve">Weitere Informationen sind in </w:t>
      </w:r>
      <w:r>
        <w:rPr>
          <w:rFonts w:ascii="Arial" w:hAnsi="Arial" w:cs="Arial"/>
          <w:color w:val="000000"/>
          <w:sz w:val="18"/>
          <w:szCs w:val="18"/>
        </w:rPr>
        <w:t>Ziff. 2</w:t>
      </w:r>
      <w:r w:rsidRPr="00D76D29">
        <w:rPr>
          <w:rFonts w:ascii="Arial" w:hAnsi="Arial" w:cs="Arial"/>
          <w:color w:val="000000"/>
          <w:sz w:val="18"/>
          <w:szCs w:val="18"/>
        </w:rPr>
        <w:t xml:space="preserve"> der Vollzugshilfe BAFU 2018 </w:t>
      </w:r>
      <w:r>
        <w:rPr>
          <w:rFonts w:ascii="Arial" w:hAnsi="Arial" w:cs="Arial"/>
          <w:color w:val="000000"/>
          <w:sz w:val="18"/>
          <w:szCs w:val="18"/>
        </w:rPr>
        <w:t>zu finden</w:t>
      </w:r>
      <w:r w:rsidRPr="00D76D29">
        <w:rPr>
          <w:rFonts w:ascii="Arial" w:hAnsi="Arial" w:cs="Arial"/>
          <w:color w:val="000000"/>
          <w:sz w:val="18"/>
          <w:szCs w:val="18"/>
        </w:rPr>
        <w:t>.</w:t>
      </w:r>
    </w:p>
    <w:p w:rsidR="00D76D29" w:rsidRDefault="00D76D29">
      <w:pPr>
        <w:pStyle w:val="Funotentext"/>
      </w:pPr>
    </w:p>
  </w:footnote>
  <w:footnote w:id="4">
    <w:p w:rsidR="004E31F6" w:rsidRPr="004E31F6" w:rsidRDefault="004E31F6">
      <w:pPr>
        <w:pStyle w:val="Funotentext"/>
        <w:rPr>
          <w:szCs w:val="18"/>
        </w:rPr>
      </w:pPr>
      <w:r w:rsidRPr="004E31F6">
        <w:rPr>
          <w:rStyle w:val="Funotenzeichen"/>
          <w:sz w:val="18"/>
          <w:szCs w:val="18"/>
        </w:rPr>
        <w:footnoteRef/>
      </w:r>
      <w:r w:rsidRPr="004E31F6">
        <w:rPr>
          <w:szCs w:val="18"/>
        </w:rPr>
        <w:t xml:space="preserve"> Vollzugshilfe BAFU 2018, S. 50</w:t>
      </w:r>
    </w:p>
  </w:footnote>
  <w:footnote w:id="5">
    <w:p w:rsidR="00EF6C94" w:rsidRPr="00EF6C94" w:rsidRDefault="00EF6C94" w:rsidP="00EF6C94">
      <w:pPr>
        <w:spacing w:line="360" w:lineRule="auto"/>
        <w:rPr>
          <w:sz w:val="18"/>
          <w:szCs w:val="18"/>
        </w:rPr>
      </w:pPr>
      <w:r w:rsidRPr="00EF6C94">
        <w:rPr>
          <w:rStyle w:val="Funotenzeichen"/>
          <w:sz w:val="18"/>
          <w:szCs w:val="18"/>
        </w:rPr>
        <w:footnoteRef/>
      </w:r>
      <w:r w:rsidRPr="00EF6C94">
        <w:rPr>
          <w:sz w:val="18"/>
          <w:szCs w:val="18"/>
        </w:rPr>
        <w:t xml:space="preserve"> Weitere Informationen dazu sind in </w:t>
      </w:r>
      <w:r>
        <w:rPr>
          <w:sz w:val="18"/>
          <w:szCs w:val="18"/>
        </w:rPr>
        <w:t>Ziff.</w:t>
      </w:r>
      <w:r w:rsidRPr="00EF6C94">
        <w:rPr>
          <w:sz w:val="18"/>
          <w:szCs w:val="18"/>
        </w:rPr>
        <w:t xml:space="preserve"> 3.1 der Vollzugs</w:t>
      </w:r>
      <w:r w:rsidRPr="00EF6C94">
        <w:rPr>
          <w:sz w:val="18"/>
          <w:szCs w:val="18"/>
        </w:rPr>
        <w:softHyphen/>
        <w:t xml:space="preserve">hilfe BAFU </w:t>
      </w:r>
      <w:proofErr w:type="gramStart"/>
      <w:r w:rsidRPr="00EF6C94">
        <w:rPr>
          <w:sz w:val="18"/>
          <w:szCs w:val="18"/>
        </w:rPr>
        <w:t xml:space="preserve">2018  </w:t>
      </w:r>
      <w:r>
        <w:rPr>
          <w:sz w:val="18"/>
          <w:szCs w:val="18"/>
        </w:rPr>
        <w:t>zu</w:t>
      </w:r>
      <w:proofErr w:type="gramEnd"/>
      <w:r>
        <w:rPr>
          <w:sz w:val="18"/>
          <w:szCs w:val="18"/>
        </w:rPr>
        <w:t xml:space="preserve"> finden</w:t>
      </w:r>
      <w:r w:rsidRPr="00EF6C94">
        <w:rPr>
          <w:sz w:val="18"/>
          <w:szCs w:val="18"/>
        </w:rPr>
        <w:t>.</w:t>
      </w:r>
    </w:p>
    <w:p w:rsidR="00EF6C94" w:rsidRDefault="00EF6C94">
      <w:pPr>
        <w:pStyle w:val="Funotentext"/>
      </w:pPr>
    </w:p>
  </w:footnote>
  <w:footnote w:id="6">
    <w:p w:rsidR="00F47791" w:rsidRDefault="00F47791" w:rsidP="00867BF6">
      <w:pPr>
        <w:spacing w:line="360" w:lineRule="auto"/>
      </w:pPr>
      <w:r w:rsidRPr="00F47791">
        <w:rPr>
          <w:rStyle w:val="Funotenzeichen"/>
          <w:sz w:val="18"/>
          <w:szCs w:val="18"/>
        </w:rPr>
        <w:footnoteRef/>
      </w:r>
      <w:r w:rsidRPr="00F47791">
        <w:rPr>
          <w:sz w:val="18"/>
          <w:szCs w:val="18"/>
        </w:rPr>
        <w:t xml:space="preserve"> </w:t>
      </w:r>
      <w:r w:rsidRPr="00F47791">
        <w:rPr>
          <w:rFonts w:cs="Arial"/>
          <w:sz w:val="18"/>
          <w:szCs w:val="18"/>
        </w:rPr>
        <w:t>Die nachfolgenden Ausführungen stützen sich auf die Vollzugshilfe BAFU 2018, S. 38ff.</w:t>
      </w:r>
    </w:p>
  </w:footnote>
  <w:footnote w:id="7">
    <w:p w:rsidR="00333861" w:rsidRPr="00333861" w:rsidRDefault="00333861">
      <w:pPr>
        <w:pStyle w:val="Funotentext"/>
        <w:rPr>
          <w:szCs w:val="18"/>
        </w:rPr>
      </w:pPr>
      <w:r w:rsidRPr="00333861">
        <w:rPr>
          <w:rStyle w:val="Funotenzeichen"/>
          <w:sz w:val="18"/>
          <w:szCs w:val="18"/>
        </w:rPr>
        <w:footnoteRef/>
      </w:r>
      <w:r w:rsidRPr="00333861">
        <w:rPr>
          <w:szCs w:val="18"/>
        </w:rPr>
        <w:t xml:space="preserve"> </w:t>
      </w:r>
      <w:r w:rsidRPr="00333861">
        <w:rPr>
          <w:rFonts w:cs="Arial"/>
          <w:szCs w:val="18"/>
        </w:rPr>
        <w:t>vgl. auch Vollzugshilfe BAFU 2018, S. 38ff.</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5DEC" w:rsidRDefault="00355DEC">
    <w:pPr>
      <w:pStyle w:val="Kopfzeile"/>
      <w:pBdr>
        <w:bottom w:val="single" w:sz="6" w:space="1" w:color="auto"/>
      </w:pBdr>
    </w:pPr>
    <w:r>
      <w:tab/>
      <w:t xml:space="preserve">- </w:t>
    </w:r>
    <w:r>
      <w:fldChar w:fldCharType="begin"/>
    </w:r>
    <w:r>
      <w:instrText>PAGE</w:instrText>
    </w:r>
    <w:r>
      <w:fldChar w:fldCharType="separate"/>
    </w:r>
    <w:r w:rsidR="00F139E1">
      <w:rPr>
        <w:noProof/>
      </w:rPr>
      <w:t>10</w:t>
    </w:r>
    <w:r>
      <w:fldChar w:fldCharType="end"/>
    </w:r>
    <w:r>
      <w:t xml:space="preserve"> -</w:t>
    </w:r>
  </w:p>
  <w:p w:rsidR="00355DEC" w:rsidRDefault="00355DEC">
    <w:pPr>
      <w:pStyle w:val="Kopfzeile"/>
    </w:pPr>
  </w:p>
  <w:p w:rsidR="00355DEC" w:rsidRDefault="00355DE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3F79FE"/>
    <w:multiLevelType w:val="hybridMultilevel"/>
    <w:tmpl w:val="C45EC714"/>
    <w:lvl w:ilvl="0" w:tplc="8912DA4A">
      <w:start w:val="1"/>
      <w:numFmt w:val="upperRoman"/>
      <w:lvlText w:val="%1."/>
      <w:lvlJc w:val="left"/>
      <w:pPr>
        <w:tabs>
          <w:tab w:val="num" w:pos="567"/>
        </w:tabs>
        <w:ind w:left="0" w:firstLine="0"/>
      </w:pPr>
      <w:rPr>
        <w:rFonts w:hint="default"/>
        <w:b/>
        <w:i w:val="0"/>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1" w15:restartNumberingAfterBreak="0">
    <w:nsid w:val="32594A80"/>
    <w:multiLevelType w:val="hybridMultilevel"/>
    <w:tmpl w:val="1EF27376"/>
    <w:lvl w:ilvl="0" w:tplc="9462E992">
      <w:start w:val="1"/>
      <w:numFmt w:val="lowerLetter"/>
      <w:lvlText w:val="%1)"/>
      <w:lvlJc w:val="left"/>
      <w:pPr>
        <w:ind w:left="720" w:hanging="360"/>
      </w:pPr>
      <w:rPr>
        <w:rFonts w:hint="default"/>
        <w:b/>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42AB6F2F"/>
    <w:multiLevelType w:val="hybridMultilevel"/>
    <w:tmpl w:val="5254E682"/>
    <w:lvl w:ilvl="0" w:tplc="DB76F28A">
      <w:start w:val="1"/>
      <w:numFmt w:val="lowerLetter"/>
      <w:lvlText w:val="%1)"/>
      <w:lvlJc w:val="left"/>
      <w:pPr>
        <w:ind w:left="1212" w:hanging="360"/>
      </w:pPr>
      <w:rPr>
        <w:rFonts w:hint="default"/>
      </w:rPr>
    </w:lvl>
    <w:lvl w:ilvl="1" w:tplc="08070019" w:tentative="1">
      <w:start w:val="1"/>
      <w:numFmt w:val="lowerLetter"/>
      <w:lvlText w:val="%2."/>
      <w:lvlJc w:val="left"/>
      <w:pPr>
        <w:ind w:left="1932" w:hanging="360"/>
      </w:pPr>
    </w:lvl>
    <w:lvl w:ilvl="2" w:tplc="0807001B" w:tentative="1">
      <w:start w:val="1"/>
      <w:numFmt w:val="lowerRoman"/>
      <w:lvlText w:val="%3."/>
      <w:lvlJc w:val="right"/>
      <w:pPr>
        <w:ind w:left="2652" w:hanging="180"/>
      </w:pPr>
    </w:lvl>
    <w:lvl w:ilvl="3" w:tplc="0807000F" w:tentative="1">
      <w:start w:val="1"/>
      <w:numFmt w:val="decimal"/>
      <w:lvlText w:val="%4."/>
      <w:lvlJc w:val="left"/>
      <w:pPr>
        <w:ind w:left="3372" w:hanging="360"/>
      </w:pPr>
    </w:lvl>
    <w:lvl w:ilvl="4" w:tplc="08070019" w:tentative="1">
      <w:start w:val="1"/>
      <w:numFmt w:val="lowerLetter"/>
      <w:lvlText w:val="%5."/>
      <w:lvlJc w:val="left"/>
      <w:pPr>
        <w:ind w:left="4092" w:hanging="360"/>
      </w:pPr>
    </w:lvl>
    <w:lvl w:ilvl="5" w:tplc="0807001B" w:tentative="1">
      <w:start w:val="1"/>
      <w:numFmt w:val="lowerRoman"/>
      <w:lvlText w:val="%6."/>
      <w:lvlJc w:val="right"/>
      <w:pPr>
        <w:ind w:left="4812" w:hanging="180"/>
      </w:pPr>
    </w:lvl>
    <w:lvl w:ilvl="6" w:tplc="0807000F" w:tentative="1">
      <w:start w:val="1"/>
      <w:numFmt w:val="decimal"/>
      <w:lvlText w:val="%7."/>
      <w:lvlJc w:val="left"/>
      <w:pPr>
        <w:ind w:left="5532" w:hanging="360"/>
      </w:pPr>
    </w:lvl>
    <w:lvl w:ilvl="7" w:tplc="08070019" w:tentative="1">
      <w:start w:val="1"/>
      <w:numFmt w:val="lowerLetter"/>
      <w:lvlText w:val="%8."/>
      <w:lvlJc w:val="left"/>
      <w:pPr>
        <w:ind w:left="6252" w:hanging="360"/>
      </w:pPr>
    </w:lvl>
    <w:lvl w:ilvl="8" w:tplc="0807001B" w:tentative="1">
      <w:start w:val="1"/>
      <w:numFmt w:val="lowerRoman"/>
      <w:lvlText w:val="%9."/>
      <w:lvlJc w:val="right"/>
      <w:pPr>
        <w:ind w:left="6972" w:hanging="180"/>
      </w:pPr>
    </w:lvl>
  </w:abstractNum>
  <w:abstractNum w:abstractNumId="3" w15:restartNumberingAfterBreak="0">
    <w:nsid w:val="59252580"/>
    <w:multiLevelType w:val="multilevel"/>
    <w:tmpl w:val="C4603E3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5BFE6283"/>
    <w:multiLevelType w:val="singleLevel"/>
    <w:tmpl w:val="FD9AC41E"/>
    <w:lvl w:ilvl="0">
      <w:start w:val="1"/>
      <w:numFmt w:val="bullet"/>
      <w:lvlText w:val="-"/>
      <w:lvlJc w:val="left"/>
      <w:pPr>
        <w:tabs>
          <w:tab w:val="num" w:pos="420"/>
        </w:tabs>
        <w:ind w:left="420" w:hanging="420"/>
      </w:pPr>
      <w:rPr>
        <w:rFonts w:ascii="Times New Roman" w:hAnsi="Times New Roman" w:hint="default"/>
      </w:rPr>
    </w:lvl>
  </w:abstractNum>
  <w:abstractNum w:abstractNumId="5" w15:restartNumberingAfterBreak="0">
    <w:nsid w:val="5C167226"/>
    <w:multiLevelType w:val="hybridMultilevel"/>
    <w:tmpl w:val="6DC237CA"/>
    <w:lvl w:ilvl="0" w:tplc="86B099C4">
      <w:start w:val="1"/>
      <w:numFmt w:val="decimal"/>
      <w:lvlText w:val="2.%1"/>
      <w:lvlJc w:val="left"/>
      <w:pPr>
        <w:ind w:left="720" w:hanging="360"/>
      </w:pPr>
      <w:rPr>
        <w:rFonts w:hint="default"/>
      </w:rPr>
    </w:lvl>
    <w:lvl w:ilvl="1" w:tplc="08070019">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6" w15:restartNumberingAfterBreak="0">
    <w:nsid w:val="61A82A00"/>
    <w:multiLevelType w:val="hybridMultilevel"/>
    <w:tmpl w:val="ADCAA53E"/>
    <w:lvl w:ilvl="0" w:tplc="8A34951A">
      <w:start w:val="1"/>
      <w:numFmt w:val="lowerLetter"/>
      <w:lvlText w:val="%1."/>
      <w:lvlJc w:val="left"/>
      <w:pPr>
        <w:ind w:left="720" w:hanging="360"/>
      </w:pPr>
      <w:rPr>
        <w:rFonts w:hint="default"/>
        <w:b/>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7" w15:restartNumberingAfterBreak="0">
    <w:nsid w:val="6AB9190B"/>
    <w:multiLevelType w:val="hybridMultilevel"/>
    <w:tmpl w:val="EF0416D0"/>
    <w:lvl w:ilvl="0" w:tplc="FB0C86FA">
      <w:start w:val="1"/>
      <w:numFmt w:val="decimal"/>
      <w:lvlText w:val="4.%1"/>
      <w:lvlJc w:val="left"/>
      <w:pPr>
        <w:ind w:left="1571" w:hanging="360"/>
      </w:pPr>
      <w:rPr>
        <w:rFonts w:hint="default"/>
      </w:rPr>
    </w:lvl>
    <w:lvl w:ilvl="1" w:tplc="08070019" w:tentative="1">
      <w:start w:val="1"/>
      <w:numFmt w:val="lowerLetter"/>
      <w:lvlText w:val="%2."/>
      <w:lvlJc w:val="left"/>
      <w:pPr>
        <w:ind w:left="2291" w:hanging="360"/>
      </w:pPr>
    </w:lvl>
    <w:lvl w:ilvl="2" w:tplc="0807001B" w:tentative="1">
      <w:start w:val="1"/>
      <w:numFmt w:val="lowerRoman"/>
      <w:lvlText w:val="%3."/>
      <w:lvlJc w:val="right"/>
      <w:pPr>
        <w:ind w:left="3011" w:hanging="180"/>
      </w:pPr>
    </w:lvl>
    <w:lvl w:ilvl="3" w:tplc="0807000F" w:tentative="1">
      <w:start w:val="1"/>
      <w:numFmt w:val="decimal"/>
      <w:lvlText w:val="%4."/>
      <w:lvlJc w:val="left"/>
      <w:pPr>
        <w:ind w:left="3731" w:hanging="360"/>
      </w:pPr>
    </w:lvl>
    <w:lvl w:ilvl="4" w:tplc="08070019" w:tentative="1">
      <w:start w:val="1"/>
      <w:numFmt w:val="lowerLetter"/>
      <w:lvlText w:val="%5."/>
      <w:lvlJc w:val="left"/>
      <w:pPr>
        <w:ind w:left="4451" w:hanging="360"/>
      </w:pPr>
    </w:lvl>
    <w:lvl w:ilvl="5" w:tplc="0807001B" w:tentative="1">
      <w:start w:val="1"/>
      <w:numFmt w:val="lowerRoman"/>
      <w:lvlText w:val="%6."/>
      <w:lvlJc w:val="right"/>
      <w:pPr>
        <w:ind w:left="5171" w:hanging="180"/>
      </w:pPr>
    </w:lvl>
    <w:lvl w:ilvl="6" w:tplc="0807000F" w:tentative="1">
      <w:start w:val="1"/>
      <w:numFmt w:val="decimal"/>
      <w:lvlText w:val="%7."/>
      <w:lvlJc w:val="left"/>
      <w:pPr>
        <w:ind w:left="5891" w:hanging="360"/>
      </w:pPr>
    </w:lvl>
    <w:lvl w:ilvl="7" w:tplc="08070019" w:tentative="1">
      <w:start w:val="1"/>
      <w:numFmt w:val="lowerLetter"/>
      <w:lvlText w:val="%8."/>
      <w:lvlJc w:val="left"/>
      <w:pPr>
        <w:ind w:left="6611" w:hanging="360"/>
      </w:pPr>
    </w:lvl>
    <w:lvl w:ilvl="8" w:tplc="0807001B" w:tentative="1">
      <w:start w:val="1"/>
      <w:numFmt w:val="lowerRoman"/>
      <w:lvlText w:val="%9."/>
      <w:lvlJc w:val="right"/>
      <w:pPr>
        <w:ind w:left="7331" w:hanging="180"/>
      </w:pPr>
    </w:lvl>
  </w:abstractNum>
  <w:abstractNum w:abstractNumId="8" w15:restartNumberingAfterBreak="0">
    <w:nsid w:val="75BC096B"/>
    <w:multiLevelType w:val="multilevel"/>
    <w:tmpl w:val="C4860218"/>
    <w:lvl w:ilvl="0">
      <w:start w:val="1"/>
      <w:numFmt w:val="decimal"/>
      <w:lvlText w:val="%1."/>
      <w:lvlJc w:val="left"/>
      <w:pPr>
        <w:ind w:left="720" w:hanging="360"/>
      </w:pPr>
      <w:rPr>
        <w:rFonts w:hint="default"/>
        <w:b w:val="0"/>
      </w:rPr>
    </w:lvl>
    <w:lvl w:ilvl="1">
      <w:start w:val="1"/>
      <w:numFmt w:val="decimal"/>
      <w:lvlText w:val="1.%2"/>
      <w:lvlJc w:val="left"/>
      <w:pPr>
        <w:ind w:left="1283" w:hanging="432"/>
      </w:pPr>
      <w:rPr>
        <w:rFonts w:hint="default"/>
        <w:b w:val="0"/>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9" w15:restartNumberingAfterBreak="0">
    <w:nsid w:val="7BBE736B"/>
    <w:multiLevelType w:val="hybridMultilevel"/>
    <w:tmpl w:val="3A9E4650"/>
    <w:lvl w:ilvl="0" w:tplc="25404D74">
      <w:start w:val="1"/>
      <w:numFmt w:val="decimal"/>
      <w:lvlText w:val="3.%1"/>
      <w:lvlJc w:val="left"/>
      <w:pPr>
        <w:ind w:left="1429" w:hanging="360"/>
      </w:pPr>
      <w:rPr>
        <w:rFonts w:hint="default"/>
      </w:r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num w:numId="1">
    <w:abstractNumId w:val="4"/>
  </w:num>
  <w:num w:numId="2">
    <w:abstractNumId w:val="8"/>
  </w:num>
  <w:num w:numId="3">
    <w:abstractNumId w:val="1"/>
  </w:num>
  <w:num w:numId="4">
    <w:abstractNumId w:val="5"/>
  </w:num>
  <w:num w:numId="5">
    <w:abstractNumId w:val="9"/>
  </w:num>
  <w:num w:numId="6">
    <w:abstractNumId w:val="7"/>
  </w:num>
  <w:num w:numId="7">
    <w:abstractNumId w:val="2"/>
  </w:num>
  <w:num w:numId="8">
    <w:abstractNumId w:val="6"/>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hideSpellingErrors/>
  <w:hideGrammaticalErrors/>
  <w:activeWritingStyle w:appName="MSWord" w:lang="de-CH" w:vendorID="9"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ED3"/>
    <w:rsid w:val="0000394F"/>
    <w:rsid w:val="00013563"/>
    <w:rsid w:val="00025705"/>
    <w:rsid w:val="00027BD3"/>
    <w:rsid w:val="00031A01"/>
    <w:rsid w:val="0003695E"/>
    <w:rsid w:val="000418AE"/>
    <w:rsid w:val="000424DD"/>
    <w:rsid w:val="0004772D"/>
    <w:rsid w:val="000550E7"/>
    <w:rsid w:val="00061EAE"/>
    <w:rsid w:val="000660FB"/>
    <w:rsid w:val="000A5E19"/>
    <w:rsid w:val="000B3C6D"/>
    <w:rsid w:val="000C5A79"/>
    <w:rsid w:val="000D21DD"/>
    <w:rsid w:val="000D25B4"/>
    <w:rsid w:val="000D7173"/>
    <w:rsid w:val="000E4A35"/>
    <w:rsid w:val="000F4EE8"/>
    <w:rsid w:val="001051CD"/>
    <w:rsid w:val="0011230D"/>
    <w:rsid w:val="0012073C"/>
    <w:rsid w:val="001228E6"/>
    <w:rsid w:val="00134594"/>
    <w:rsid w:val="00147960"/>
    <w:rsid w:val="00160639"/>
    <w:rsid w:val="00160ABD"/>
    <w:rsid w:val="001632F4"/>
    <w:rsid w:val="00166D85"/>
    <w:rsid w:val="00186F53"/>
    <w:rsid w:val="001A2101"/>
    <w:rsid w:val="001A74A0"/>
    <w:rsid w:val="001A7FF2"/>
    <w:rsid w:val="001B2F9C"/>
    <w:rsid w:val="001B7A0A"/>
    <w:rsid w:val="001C04AC"/>
    <w:rsid w:val="001C7030"/>
    <w:rsid w:val="001D39C5"/>
    <w:rsid w:val="001E71E1"/>
    <w:rsid w:val="001F084B"/>
    <w:rsid w:val="00220987"/>
    <w:rsid w:val="00241DC3"/>
    <w:rsid w:val="00260A8D"/>
    <w:rsid w:val="00263118"/>
    <w:rsid w:val="00273654"/>
    <w:rsid w:val="00274156"/>
    <w:rsid w:val="002741D5"/>
    <w:rsid w:val="00284483"/>
    <w:rsid w:val="00297271"/>
    <w:rsid w:val="002A7534"/>
    <w:rsid w:val="00304328"/>
    <w:rsid w:val="00304DC8"/>
    <w:rsid w:val="003120DD"/>
    <w:rsid w:val="00333861"/>
    <w:rsid w:val="00347760"/>
    <w:rsid w:val="003529E1"/>
    <w:rsid w:val="00355DEC"/>
    <w:rsid w:val="00355E2A"/>
    <w:rsid w:val="0037187C"/>
    <w:rsid w:val="0037268A"/>
    <w:rsid w:val="00380C55"/>
    <w:rsid w:val="0038145C"/>
    <w:rsid w:val="003822BB"/>
    <w:rsid w:val="00382F66"/>
    <w:rsid w:val="003830C6"/>
    <w:rsid w:val="0038445D"/>
    <w:rsid w:val="00384E4C"/>
    <w:rsid w:val="003A33F4"/>
    <w:rsid w:val="003B3E4E"/>
    <w:rsid w:val="003E29E5"/>
    <w:rsid w:val="003E2BAC"/>
    <w:rsid w:val="003F2698"/>
    <w:rsid w:val="003F5E0F"/>
    <w:rsid w:val="004253EC"/>
    <w:rsid w:val="00466B40"/>
    <w:rsid w:val="00481D33"/>
    <w:rsid w:val="00486DB7"/>
    <w:rsid w:val="00487EA9"/>
    <w:rsid w:val="004A4659"/>
    <w:rsid w:val="004A7045"/>
    <w:rsid w:val="004B429C"/>
    <w:rsid w:val="004D0461"/>
    <w:rsid w:val="004E31F6"/>
    <w:rsid w:val="004F002C"/>
    <w:rsid w:val="004F1B0B"/>
    <w:rsid w:val="004F7AC7"/>
    <w:rsid w:val="0050398D"/>
    <w:rsid w:val="00521301"/>
    <w:rsid w:val="005273CB"/>
    <w:rsid w:val="00535CB5"/>
    <w:rsid w:val="00542107"/>
    <w:rsid w:val="00542408"/>
    <w:rsid w:val="005545BE"/>
    <w:rsid w:val="00573580"/>
    <w:rsid w:val="0057393A"/>
    <w:rsid w:val="00591AF5"/>
    <w:rsid w:val="005A3A99"/>
    <w:rsid w:val="005D439F"/>
    <w:rsid w:val="005E3B70"/>
    <w:rsid w:val="005F73DA"/>
    <w:rsid w:val="006341C6"/>
    <w:rsid w:val="006352B9"/>
    <w:rsid w:val="00640782"/>
    <w:rsid w:val="0066243E"/>
    <w:rsid w:val="006639C5"/>
    <w:rsid w:val="00670C7A"/>
    <w:rsid w:val="006926DD"/>
    <w:rsid w:val="006A6B86"/>
    <w:rsid w:val="006B4E66"/>
    <w:rsid w:val="006B7C58"/>
    <w:rsid w:val="006D1D8B"/>
    <w:rsid w:val="006D3AA3"/>
    <w:rsid w:val="006E4AA9"/>
    <w:rsid w:val="006F0805"/>
    <w:rsid w:val="0070021B"/>
    <w:rsid w:val="00722A2A"/>
    <w:rsid w:val="00726366"/>
    <w:rsid w:val="00726A38"/>
    <w:rsid w:val="00731AB3"/>
    <w:rsid w:val="00772AFF"/>
    <w:rsid w:val="00780A62"/>
    <w:rsid w:val="007947D1"/>
    <w:rsid w:val="007A242D"/>
    <w:rsid w:val="007A2F42"/>
    <w:rsid w:val="007A5DDE"/>
    <w:rsid w:val="007B7585"/>
    <w:rsid w:val="007C5196"/>
    <w:rsid w:val="007C5A1D"/>
    <w:rsid w:val="007D0728"/>
    <w:rsid w:val="007F7CF6"/>
    <w:rsid w:val="00804DE4"/>
    <w:rsid w:val="00815F6E"/>
    <w:rsid w:val="008216BD"/>
    <w:rsid w:val="008348FA"/>
    <w:rsid w:val="00835B62"/>
    <w:rsid w:val="008515EB"/>
    <w:rsid w:val="00866A28"/>
    <w:rsid w:val="008677EA"/>
    <w:rsid w:val="00867BF6"/>
    <w:rsid w:val="0087128E"/>
    <w:rsid w:val="008773D5"/>
    <w:rsid w:val="00883DE2"/>
    <w:rsid w:val="008A3ACF"/>
    <w:rsid w:val="008C0D25"/>
    <w:rsid w:val="008D0E64"/>
    <w:rsid w:val="008D3938"/>
    <w:rsid w:val="008D5EF1"/>
    <w:rsid w:val="008E0D75"/>
    <w:rsid w:val="008F06CB"/>
    <w:rsid w:val="008F789F"/>
    <w:rsid w:val="009047C9"/>
    <w:rsid w:val="00910053"/>
    <w:rsid w:val="00915397"/>
    <w:rsid w:val="0091588C"/>
    <w:rsid w:val="00915B07"/>
    <w:rsid w:val="00916054"/>
    <w:rsid w:val="00931E28"/>
    <w:rsid w:val="00937973"/>
    <w:rsid w:val="009A7896"/>
    <w:rsid w:val="009B053C"/>
    <w:rsid w:val="009C5014"/>
    <w:rsid w:val="009D3C5A"/>
    <w:rsid w:val="009E49A6"/>
    <w:rsid w:val="009F5333"/>
    <w:rsid w:val="009F60B5"/>
    <w:rsid w:val="00A07CBB"/>
    <w:rsid w:val="00A10C2C"/>
    <w:rsid w:val="00A21E17"/>
    <w:rsid w:val="00A25D8C"/>
    <w:rsid w:val="00A307CE"/>
    <w:rsid w:val="00A331B8"/>
    <w:rsid w:val="00A36766"/>
    <w:rsid w:val="00A43151"/>
    <w:rsid w:val="00A53C30"/>
    <w:rsid w:val="00A57C30"/>
    <w:rsid w:val="00A620C9"/>
    <w:rsid w:val="00A660AF"/>
    <w:rsid w:val="00A66142"/>
    <w:rsid w:val="00A70F05"/>
    <w:rsid w:val="00A7650A"/>
    <w:rsid w:val="00A804A2"/>
    <w:rsid w:val="00A86E29"/>
    <w:rsid w:val="00AC7F8E"/>
    <w:rsid w:val="00AE49D8"/>
    <w:rsid w:val="00AF2EAF"/>
    <w:rsid w:val="00B062FE"/>
    <w:rsid w:val="00B17913"/>
    <w:rsid w:val="00B21629"/>
    <w:rsid w:val="00B3232A"/>
    <w:rsid w:val="00B51928"/>
    <w:rsid w:val="00B87829"/>
    <w:rsid w:val="00B96CFC"/>
    <w:rsid w:val="00BC0010"/>
    <w:rsid w:val="00BC6422"/>
    <w:rsid w:val="00BE7E89"/>
    <w:rsid w:val="00C03464"/>
    <w:rsid w:val="00C35070"/>
    <w:rsid w:val="00C57AAE"/>
    <w:rsid w:val="00C61ACA"/>
    <w:rsid w:val="00C63C83"/>
    <w:rsid w:val="00C959B3"/>
    <w:rsid w:val="00CA34E7"/>
    <w:rsid w:val="00CB3B79"/>
    <w:rsid w:val="00CC14F9"/>
    <w:rsid w:val="00CC5895"/>
    <w:rsid w:val="00CD25E7"/>
    <w:rsid w:val="00CD3746"/>
    <w:rsid w:val="00CE7188"/>
    <w:rsid w:val="00CF0ED3"/>
    <w:rsid w:val="00D1008E"/>
    <w:rsid w:val="00D12808"/>
    <w:rsid w:val="00D14108"/>
    <w:rsid w:val="00D40D77"/>
    <w:rsid w:val="00D46CA2"/>
    <w:rsid w:val="00D503E2"/>
    <w:rsid w:val="00D50DBD"/>
    <w:rsid w:val="00D518E6"/>
    <w:rsid w:val="00D61E9E"/>
    <w:rsid w:val="00D76D29"/>
    <w:rsid w:val="00D86887"/>
    <w:rsid w:val="00DA4A9A"/>
    <w:rsid w:val="00DA54C5"/>
    <w:rsid w:val="00DC6CA4"/>
    <w:rsid w:val="00DD3E50"/>
    <w:rsid w:val="00DE68E4"/>
    <w:rsid w:val="00DE6BD9"/>
    <w:rsid w:val="00E05220"/>
    <w:rsid w:val="00E15266"/>
    <w:rsid w:val="00E40E93"/>
    <w:rsid w:val="00E46A5E"/>
    <w:rsid w:val="00E50372"/>
    <w:rsid w:val="00E65EEB"/>
    <w:rsid w:val="00E8249F"/>
    <w:rsid w:val="00EA5A3C"/>
    <w:rsid w:val="00EC06E9"/>
    <w:rsid w:val="00ED2AA4"/>
    <w:rsid w:val="00EF6C94"/>
    <w:rsid w:val="00F139E1"/>
    <w:rsid w:val="00F323ED"/>
    <w:rsid w:val="00F47791"/>
    <w:rsid w:val="00F501FA"/>
    <w:rsid w:val="00F539F9"/>
    <w:rsid w:val="00F74B1F"/>
    <w:rsid w:val="00FC1B74"/>
    <w:rsid w:val="00FD6729"/>
    <w:rsid w:val="00FD71B3"/>
    <w:rsid w:val="00FE724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3945DCC0"/>
  <w15:chartTrackingRefBased/>
  <w15:docId w15:val="{C0839DC7-C46F-4306-A2D0-2BE675A4E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de-CH" w:eastAsia="de-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next w:val="NurText"/>
    <w:qFormat/>
    <w:pPr>
      <w:tabs>
        <w:tab w:val="left" w:pos="426"/>
        <w:tab w:val="left" w:pos="851"/>
        <w:tab w:val="left" w:pos="1276"/>
        <w:tab w:val="left" w:pos="5216"/>
        <w:tab w:val="decimal" w:pos="7938"/>
        <w:tab w:val="right" w:pos="9299"/>
      </w:tabs>
    </w:pPr>
    <w:rPr>
      <w:rFonts w:ascii="Arial" w:hAnsi="Arial"/>
      <w:sz w:val="22"/>
    </w:rPr>
  </w:style>
  <w:style w:type="paragraph" w:styleId="berschrift1">
    <w:name w:val="heading 1"/>
    <w:basedOn w:val="Standard"/>
    <w:next w:val="Standard"/>
    <w:qFormat/>
    <w:pPr>
      <w:keepNext/>
      <w:tabs>
        <w:tab w:val="clear" w:pos="426"/>
        <w:tab w:val="clear" w:pos="7938"/>
        <w:tab w:val="left" w:pos="1701"/>
      </w:tabs>
      <w:spacing w:after="120"/>
      <w:outlineLvl w:val="0"/>
    </w:pPr>
    <w:rPr>
      <w:b/>
      <w:sz w:val="26"/>
    </w:rPr>
  </w:style>
  <w:style w:type="paragraph" w:styleId="berschrift2">
    <w:name w:val="heading 2"/>
    <w:basedOn w:val="Standard"/>
    <w:next w:val="Standard"/>
    <w:qFormat/>
    <w:pPr>
      <w:keepNext/>
      <w:tabs>
        <w:tab w:val="clear" w:pos="426"/>
        <w:tab w:val="clear" w:pos="7938"/>
        <w:tab w:val="left" w:pos="1701"/>
      </w:tabs>
      <w:spacing w:after="120"/>
      <w:outlineLvl w:val="1"/>
    </w:pPr>
    <w:rPr>
      <w:b/>
    </w:rPr>
  </w:style>
  <w:style w:type="paragraph" w:styleId="berschrift3">
    <w:name w:val="heading 3"/>
    <w:basedOn w:val="Standard"/>
    <w:next w:val="Standard"/>
    <w:qFormat/>
    <w:pPr>
      <w:keepNext/>
      <w:tabs>
        <w:tab w:val="clear" w:pos="426"/>
        <w:tab w:val="clear" w:pos="7938"/>
        <w:tab w:val="left" w:pos="1701"/>
      </w:tabs>
      <w:spacing w:after="120"/>
      <w:outlineLvl w:val="2"/>
    </w:pPr>
    <w:rPr>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Endnotenzeichen">
    <w:name w:val="endnote reference"/>
    <w:basedOn w:val="Absatz-Standardschriftart"/>
    <w:semiHidden/>
    <w:rPr>
      <w:vertAlign w:val="superscript"/>
    </w:rPr>
  </w:style>
  <w:style w:type="paragraph" w:styleId="Verzeichnis3">
    <w:name w:val="toc 3"/>
    <w:basedOn w:val="Standard"/>
    <w:next w:val="Standard"/>
    <w:semiHidden/>
    <w:pPr>
      <w:tabs>
        <w:tab w:val="clear" w:pos="426"/>
        <w:tab w:val="clear" w:pos="1276"/>
        <w:tab w:val="clear" w:pos="5216"/>
        <w:tab w:val="clear" w:pos="7938"/>
        <w:tab w:val="left" w:pos="1560"/>
        <w:tab w:val="right" w:leader="dot" w:pos="9299"/>
      </w:tabs>
      <w:ind w:left="851"/>
    </w:pPr>
  </w:style>
  <w:style w:type="paragraph" w:styleId="Verzeichnis2">
    <w:name w:val="toc 2"/>
    <w:basedOn w:val="Standard"/>
    <w:next w:val="Standard"/>
    <w:semiHidden/>
    <w:pPr>
      <w:tabs>
        <w:tab w:val="clear" w:pos="1276"/>
        <w:tab w:val="clear" w:pos="5216"/>
        <w:tab w:val="clear" w:pos="7938"/>
        <w:tab w:val="right" w:leader="dot" w:pos="9299"/>
      </w:tabs>
      <w:ind w:left="426"/>
    </w:pPr>
  </w:style>
  <w:style w:type="paragraph" w:styleId="Verzeichnis1">
    <w:name w:val="toc 1"/>
    <w:basedOn w:val="Standard"/>
    <w:next w:val="Standard"/>
    <w:semiHidden/>
    <w:pPr>
      <w:tabs>
        <w:tab w:val="clear" w:pos="1276"/>
        <w:tab w:val="clear" w:pos="5216"/>
        <w:tab w:val="clear" w:pos="7938"/>
        <w:tab w:val="right" w:leader="dot" w:pos="9299"/>
      </w:tabs>
      <w:spacing w:before="120"/>
    </w:pPr>
  </w:style>
  <w:style w:type="paragraph" w:styleId="Fuzeile">
    <w:name w:val="footer"/>
    <w:basedOn w:val="Standard"/>
    <w:pPr>
      <w:tabs>
        <w:tab w:val="clear" w:pos="7938"/>
      </w:tabs>
    </w:pPr>
    <w:rPr>
      <w:noProof/>
      <w:sz w:val="12"/>
    </w:rPr>
  </w:style>
  <w:style w:type="paragraph" w:styleId="Kopfzeile">
    <w:name w:val="header"/>
    <w:basedOn w:val="Standard"/>
    <w:pPr>
      <w:tabs>
        <w:tab w:val="clear" w:pos="426"/>
        <w:tab w:val="clear" w:pos="851"/>
        <w:tab w:val="clear" w:pos="1276"/>
        <w:tab w:val="clear" w:pos="5216"/>
        <w:tab w:val="clear" w:pos="7938"/>
      </w:tabs>
    </w:pPr>
  </w:style>
  <w:style w:type="character" w:styleId="Funotenzeichen">
    <w:name w:val="footnote reference"/>
    <w:basedOn w:val="Absatz-Standardschriftart"/>
    <w:rPr>
      <w:position w:val="6"/>
      <w:sz w:val="16"/>
    </w:rPr>
  </w:style>
  <w:style w:type="paragraph" w:styleId="Funotentext">
    <w:name w:val="footnote text"/>
    <w:basedOn w:val="Standard"/>
    <w:pPr>
      <w:ind w:left="426" w:hanging="426"/>
    </w:pPr>
    <w:rPr>
      <w:sz w:val="18"/>
    </w:rPr>
  </w:style>
  <w:style w:type="paragraph" w:styleId="Standardeinzug">
    <w:name w:val="Normal Indent"/>
    <w:basedOn w:val="Standard"/>
    <w:pPr>
      <w:ind w:left="426" w:hanging="426"/>
    </w:pPr>
  </w:style>
  <w:style w:type="paragraph" w:customStyle="1" w:styleId="Aufzhlung1">
    <w:name w:val="Aufzählung1"/>
    <w:basedOn w:val="Standard"/>
    <w:next w:val="Standard"/>
    <w:pPr>
      <w:ind w:left="426" w:hanging="426"/>
    </w:pPr>
  </w:style>
  <w:style w:type="paragraph" w:customStyle="1" w:styleId="Aufzhlung2">
    <w:name w:val="Aufzählung2"/>
    <w:basedOn w:val="Standard"/>
    <w:next w:val="Standard"/>
    <w:pPr>
      <w:ind w:left="851" w:hanging="426"/>
    </w:pPr>
  </w:style>
  <w:style w:type="paragraph" w:customStyle="1" w:styleId="Aufzhlung3">
    <w:name w:val="Aufzählung3"/>
    <w:basedOn w:val="Standard"/>
    <w:next w:val="Standard"/>
    <w:pPr>
      <w:ind w:left="1276" w:hanging="426"/>
    </w:pPr>
  </w:style>
  <w:style w:type="paragraph" w:customStyle="1" w:styleId="RRBKopfinfos">
    <w:name w:val="RRB_Kopfinfos"/>
    <w:basedOn w:val="Standard"/>
    <w:pPr>
      <w:tabs>
        <w:tab w:val="clear" w:pos="426"/>
        <w:tab w:val="clear" w:pos="851"/>
        <w:tab w:val="clear" w:pos="1276"/>
        <w:tab w:val="clear" w:pos="5216"/>
        <w:tab w:val="clear" w:pos="9299"/>
        <w:tab w:val="left" w:pos="1701"/>
        <w:tab w:val="left" w:pos="5160"/>
      </w:tabs>
      <w:ind w:left="1701" w:hanging="1701"/>
    </w:pPr>
  </w:style>
  <w:style w:type="paragraph" w:customStyle="1" w:styleId="Randtitel">
    <w:name w:val="Randtitel"/>
    <w:basedOn w:val="Standard"/>
    <w:next w:val="Standard"/>
    <w:pPr>
      <w:keepNext/>
      <w:tabs>
        <w:tab w:val="clear" w:pos="5216"/>
        <w:tab w:val="clear" w:pos="9299"/>
        <w:tab w:val="left" w:pos="5160"/>
        <w:tab w:val="right" w:pos="9185"/>
      </w:tabs>
      <w:spacing w:after="120"/>
    </w:pPr>
    <w:rPr>
      <w:b/>
      <w:i/>
      <w:sz w:val="20"/>
    </w:rPr>
  </w:style>
  <w:style w:type="paragraph" w:customStyle="1" w:styleId="GRInterpellationTitel">
    <w:name w:val="GR_Interpellation_Titel"/>
    <w:basedOn w:val="Standard"/>
    <w:pPr>
      <w:tabs>
        <w:tab w:val="clear" w:pos="426"/>
        <w:tab w:val="clear" w:pos="851"/>
        <w:tab w:val="clear" w:pos="1276"/>
        <w:tab w:val="clear" w:pos="5216"/>
        <w:tab w:val="left" w:pos="1701"/>
        <w:tab w:val="left" w:pos="5160"/>
      </w:tabs>
      <w:spacing w:after="120"/>
      <w:ind w:left="1701" w:hanging="1701"/>
    </w:pPr>
    <w:rPr>
      <w:b/>
    </w:rPr>
  </w:style>
  <w:style w:type="paragraph" w:customStyle="1" w:styleId="GRKopf">
    <w:name w:val="GR_Kopf"/>
    <w:basedOn w:val="Standard"/>
    <w:pPr>
      <w:tabs>
        <w:tab w:val="clear" w:pos="426"/>
        <w:tab w:val="clear" w:pos="851"/>
        <w:tab w:val="clear" w:pos="1276"/>
        <w:tab w:val="clear" w:pos="5216"/>
        <w:tab w:val="clear" w:pos="7938"/>
      </w:tabs>
    </w:pPr>
  </w:style>
  <w:style w:type="paragraph" w:customStyle="1" w:styleId="Medienmitteilung">
    <w:name w:val="Medienmitteilung"/>
    <w:basedOn w:val="Standard"/>
    <w:pPr>
      <w:tabs>
        <w:tab w:val="clear" w:pos="426"/>
        <w:tab w:val="clear" w:pos="851"/>
        <w:tab w:val="clear" w:pos="1276"/>
        <w:tab w:val="clear" w:pos="5216"/>
        <w:tab w:val="clear" w:pos="7938"/>
        <w:tab w:val="clear" w:pos="9299"/>
        <w:tab w:val="right" w:pos="7541"/>
      </w:tabs>
      <w:spacing w:line="360" w:lineRule="atLeast"/>
      <w:ind w:left="1418" w:right="1701"/>
    </w:pPr>
  </w:style>
  <w:style w:type="paragraph" w:customStyle="1" w:styleId="Adressbereich">
    <w:name w:val="Adressbereich"/>
    <w:basedOn w:val="Standard"/>
    <w:pPr>
      <w:tabs>
        <w:tab w:val="clear" w:pos="426"/>
        <w:tab w:val="clear" w:pos="851"/>
        <w:tab w:val="clear" w:pos="1276"/>
        <w:tab w:val="clear" w:pos="5216"/>
        <w:tab w:val="clear" w:pos="7938"/>
        <w:tab w:val="clear" w:pos="9299"/>
        <w:tab w:val="left" w:pos="2268"/>
      </w:tabs>
    </w:pPr>
  </w:style>
  <w:style w:type="paragraph" w:customStyle="1" w:styleId="Briefkopf">
    <w:name w:val="Briefkopf"/>
    <w:basedOn w:val="Standard"/>
    <w:pPr>
      <w:tabs>
        <w:tab w:val="clear" w:pos="426"/>
        <w:tab w:val="clear" w:pos="851"/>
        <w:tab w:val="clear" w:pos="1276"/>
        <w:tab w:val="clear" w:pos="5216"/>
        <w:tab w:val="clear" w:pos="9299"/>
        <w:tab w:val="left" w:pos="567"/>
        <w:tab w:val="left" w:pos="1134"/>
        <w:tab w:val="left" w:pos="1701"/>
        <w:tab w:val="left" w:pos="5160"/>
        <w:tab w:val="right" w:pos="8931"/>
      </w:tabs>
    </w:pPr>
    <w:rPr>
      <w:sz w:val="20"/>
    </w:rPr>
  </w:style>
  <w:style w:type="paragraph" w:customStyle="1" w:styleId="Amtsbericht">
    <w:name w:val="Amtsbericht"/>
    <w:basedOn w:val="Standard"/>
    <w:pPr>
      <w:spacing w:line="360" w:lineRule="atLeast"/>
      <w:ind w:right="1134"/>
    </w:pPr>
  </w:style>
  <w:style w:type="paragraph" w:customStyle="1" w:styleId="Zirkulationsmappe">
    <w:name w:val="Zirkulationsmappe"/>
    <w:basedOn w:val="Standard"/>
    <w:pPr>
      <w:tabs>
        <w:tab w:val="clear" w:pos="426"/>
        <w:tab w:val="clear" w:pos="851"/>
        <w:tab w:val="clear" w:pos="1276"/>
        <w:tab w:val="clear" w:pos="5216"/>
        <w:tab w:val="clear" w:pos="9299"/>
        <w:tab w:val="left" w:pos="3686"/>
        <w:tab w:val="left" w:leader="dot" w:pos="5671"/>
        <w:tab w:val="left" w:pos="6096"/>
        <w:tab w:val="decimal" w:leader="dot" w:pos="7938"/>
        <w:tab w:val="left" w:pos="8959"/>
      </w:tabs>
      <w:spacing w:line="360" w:lineRule="atLeast"/>
    </w:pPr>
  </w:style>
  <w:style w:type="paragraph" w:customStyle="1" w:styleId="Beschluss">
    <w:name w:val="Beschluss"/>
    <w:basedOn w:val="Standard"/>
    <w:pPr>
      <w:tabs>
        <w:tab w:val="clear" w:pos="426"/>
        <w:tab w:val="clear" w:pos="851"/>
        <w:tab w:val="clear" w:pos="1276"/>
        <w:tab w:val="clear" w:pos="5216"/>
        <w:tab w:val="clear" w:pos="9299"/>
        <w:tab w:val="left" w:pos="567"/>
        <w:tab w:val="left" w:pos="1134"/>
        <w:tab w:val="left" w:pos="1702"/>
        <w:tab w:val="left" w:pos="5160"/>
        <w:tab w:val="left" w:pos="8959"/>
      </w:tabs>
      <w:ind w:left="1191" w:right="-567"/>
    </w:pPr>
  </w:style>
  <w:style w:type="paragraph" w:customStyle="1" w:styleId="Begleitzettel">
    <w:name w:val="Begleitzettel"/>
    <w:basedOn w:val="Standard"/>
    <w:pPr>
      <w:tabs>
        <w:tab w:val="clear" w:pos="426"/>
        <w:tab w:val="clear" w:pos="851"/>
        <w:tab w:val="clear" w:pos="1276"/>
        <w:tab w:val="clear" w:pos="5216"/>
        <w:tab w:val="clear" w:pos="7938"/>
        <w:tab w:val="clear" w:pos="9299"/>
        <w:tab w:val="left" w:pos="567"/>
        <w:tab w:val="left" w:pos="5104"/>
        <w:tab w:val="left" w:pos="5670"/>
      </w:tabs>
    </w:pPr>
  </w:style>
  <w:style w:type="paragraph" w:styleId="Gruformel">
    <w:name w:val="Closing"/>
    <w:aliases w:val="Grussformel"/>
    <w:basedOn w:val="Standard"/>
    <w:next w:val="Standard"/>
    <w:pPr>
      <w:tabs>
        <w:tab w:val="clear" w:pos="426"/>
        <w:tab w:val="clear" w:pos="851"/>
        <w:tab w:val="clear" w:pos="1276"/>
      </w:tabs>
    </w:pPr>
  </w:style>
  <w:style w:type="paragraph" w:customStyle="1" w:styleId="absatz1">
    <w:name w:val="absatz 1."/>
    <w:pPr>
      <w:tabs>
        <w:tab w:val="left" w:pos="5184"/>
      </w:tabs>
      <w:spacing w:line="336" w:lineRule="exact"/>
      <w:ind w:firstLine="454"/>
    </w:pPr>
    <w:rPr>
      <w:rFonts w:ascii="Courier" w:hAnsi="Courier"/>
      <w:sz w:val="24"/>
      <w:lang w:val="de-DE"/>
    </w:rPr>
  </w:style>
  <w:style w:type="paragraph" w:customStyle="1" w:styleId="zusatzzuabsatz1">
    <w:name w:val="zusatz zu absatz 1"/>
    <w:pPr>
      <w:spacing w:line="288" w:lineRule="exact"/>
      <w:ind w:left="1440" w:hanging="720"/>
    </w:pPr>
    <w:rPr>
      <w:rFonts w:ascii="Courier" w:hAnsi="Courier"/>
      <w:sz w:val="24"/>
      <w:lang w:val="de-DE"/>
    </w:rPr>
  </w:style>
  <w:style w:type="paragraph" w:customStyle="1" w:styleId="absatz2">
    <w:name w:val="absatz 2"/>
    <w:pPr>
      <w:spacing w:line="336" w:lineRule="exact"/>
      <w:ind w:left="454" w:hanging="454"/>
    </w:pPr>
    <w:rPr>
      <w:rFonts w:ascii="Courier" w:hAnsi="Courier"/>
      <w:sz w:val="24"/>
      <w:lang w:val="de-DE"/>
    </w:rPr>
  </w:style>
  <w:style w:type="paragraph" w:customStyle="1" w:styleId="zusatzzuabsatz2">
    <w:name w:val="zusatz zu absatz 2"/>
    <w:pPr>
      <w:spacing w:line="288" w:lineRule="exact"/>
      <w:ind w:left="2013" w:hanging="573"/>
    </w:pPr>
    <w:rPr>
      <w:rFonts w:ascii="Courier" w:hAnsi="Courier"/>
      <w:sz w:val="24"/>
      <w:lang w:val="de-DE"/>
    </w:rPr>
  </w:style>
  <w:style w:type="paragraph" w:customStyle="1" w:styleId="Beweis">
    <w:name w:val="Beweis"/>
    <w:pPr>
      <w:tabs>
        <w:tab w:val="left" w:pos="1888"/>
        <w:tab w:val="left" w:pos="4253"/>
        <w:tab w:val="left" w:pos="5184"/>
      </w:tabs>
      <w:spacing w:after="240" w:line="288" w:lineRule="exact"/>
      <w:ind w:left="4253" w:hanging="3521"/>
    </w:pPr>
    <w:rPr>
      <w:rFonts w:ascii="Courier" w:hAnsi="Courier"/>
      <w:sz w:val="24"/>
      <w:u w:val="single"/>
      <w:lang w:val="de-DE"/>
    </w:rPr>
  </w:style>
  <w:style w:type="paragraph" w:customStyle="1" w:styleId="KT">
    <w:name w:val="KT"/>
    <w:pPr>
      <w:tabs>
        <w:tab w:val="left" w:pos="1152"/>
        <w:tab w:val="decimal" w:pos="4464"/>
        <w:tab w:val="decimal" w:pos="7056"/>
        <w:tab w:val="decimal" w:pos="8928"/>
      </w:tabs>
      <w:spacing w:line="288" w:lineRule="exact"/>
    </w:pPr>
    <w:rPr>
      <w:rFonts w:ascii="Courier" w:hAnsi="Courier"/>
      <w:sz w:val="24"/>
      <w:lang w:val="de-DE"/>
    </w:rPr>
  </w:style>
  <w:style w:type="paragraph" w:customStyle="1" w:styleId="KN">
    <w:name w:val="KN"/>
    <w:pPr>
      <w:tabs>
        <w:tab w:val="left" w:pos="1152"/>
        <w:tab w:val="left" w:pos="4176"/>
        <w:tab w:val="left" w:pos="6048"/>
        <w:tab w:val="left" w:pos="8640"/>
      </w:tabs>
      <w:spacing w:line="288" w:lineRule="exact"/>
    </w:pPr>
    <w:rPr>
      <w:rFonts w:ascii="Courier" w:hAnsi="Courier"/>
      <w:sz w:val="24"/>
      <w:lang w:val="de-DE"/>
    </w:rPr>
  </w:style>
  <w:style w:type="paragraph" w:customStyle="1" w:styleId="Aktenverzeichnis">
    <w:name w:val="Aktenverzeichnis"/>
    <w:pPr>
      <w:tabs>
        <w:tab w:val="left" w:pos="3168"/>
        <w:tab w:val="left" w:pos="5184"/>
      </w:tabs>
      <w:spacing w:after="240" w:line="288" w:lineRule="exact"/>
      <w:ind w:left="3170" w:hanging="2449"/>
    </w:pPr>
    <w:rPr>
      <w:rFonts w:ascii="Courier" w:hAnsi="Courier"/>
      <w:sz w:val="24"/>
      <w:lang w:val="de-DE"/>
    </w:rPr>
  </w:style>
  <w:style w:type="paragraph" w:customStyle="1" w:styleId="Aufstellung">
    <w:name w:val="Aufstellung"/>
    <w:pPr>
      <w:tabs>
        <w:tab w:val="left" w:pos="1888"/>
        <w:tab w:val="left" w:pos="4253"/>
        <w:tab w:val="left" w:pos="5184"/>
      </w:tabs>
      <w:spacing w:after="240" w:line="288" w:lineRule="exact"/>
      <w:ind w:left="4253" w:hanging="3521"/>
    </w:pPr>
    <w:rPr>
      <w:rFonts w:ascii="Courier" w:hAnsi="Courier"/>
      <w:sz w:val="24"/>
      <w:lang w:val="de-DE"/>
    </w:rPr>
  </w:style>
  <w:style w:type="character" w:styleId="Hyperlink">
    <w:name w:val="Hyperlink"/>
    <w:basedOn w:val="Absatz-Standardschriftart"/>
    <w:rsid w:val="0087128E"/>
    <w:rPr>
      <w:color w:val="0000FF"/>
      <w:u w:val="single"/>
    </w:rPr>
  </w:style>
  <w:style w:type="paragraph" w:styleId="Listenabsatz">
    <w:name w:val="List Paragraph"/>
    <w:basedOn w:val="Standard"/>
    <w:qFormat/>
    <w:rsid w:val="005545BE"/>
    <w:pPr>
      <w:ind w:left="720"/>
      <w:contextualSpacing/>
    </w:pPr>
  </w:style>
  <w:style w:type="paragraph" w:styleId="Sprechblasentext">
    <w:name w:val="Balloon Text"/>
    <w:basedOn w:val="Standard"/>
    <w:link w:val="SprechblasentextZchn"/>
    <w:rsid w:val="00937973"/>
    <w:rPr>
      <w:rFonts w:ascii="Segoe UI" w:hAnsi="Segoe UI" w:cs="Segoe UI"/>
      <w:sz w:val="18"/>
      <w:szCs w:val="18"/>
    </w:rPr>
  </w:style>
  <w:style w:type="character" w:customStyle="1" w:styleId="SprechblasentextZchn">
    <w:name w:val="Sprechblasentext Zchn"/>
    <w:basedOn w:val="Absatz-Standardschriftart"/>
    <w:link w:val="Sprechblasentext"/>
    <w:rsid w:val="00937973"/>
    <w:rPr>
      <w:rFonts w:ascii="Segoe UI" w:hAnsi="Segoe UI" w:cs="Segoe UI"/>
      <w:sz w:val="18"/>
      <w:szCs w:val="18"/>
    </w:rPr>
  </w:style>
  <w:style w:type="paragraph" w:styleId="Textkrper-Zeileneinzug">
    <w:name w:val="Body Text Indent"/>
    <w:basedOn w:val="Standard"/>
    <w:link w:val="Textkrper-ZeileneinzugZchn"/>
    <w:rsid w:val="000660FB"/>
    <w:pPr>
      <w:tabs>
        <w:tab w:val="clear" w:pos="426"/>
        <w:tab w:val="clear" w:pos="851"/>
        <w:tab w:val="clear" w:pos="1276"/>
        <w:tab w:val="clear" w:pos="5216"/>
        <w:tab w:val="clear" w:pos="7938"/>
        <w:tab w:val="clear" w:pos="9299"/>
      </w:tabs>
      <w:ind w:left="-426"/>
    </w:pPr>
    <w:rPr>
      <w:rFonts w:ascii="Univers" w:hAnsi="Univers"/>
      <w:sz w:val="24"/>
      <w:lang w:val="de-DE" w:eastAsia="de-DE"/>
    </w:rPr>
  </w:style>
  <w:style w:type="character" w:customStyle="1" w:styleId="Textkrper-ZeileneinzugZchn">
    <w:name w:val="Textkörper-Zeileneinzug Zchn"/>
    <w:basedOn w:val="Absatz-Standardschriftart"/>
    <w:link w:val="Textkrper-Zeileneinzug"/>
    <w:rsid w:val="000660FB"/>
    <w:rPr>
      <w:rFonts w:ascii="Univers" w:hAnsi="Univers"/>
      <w:sz w:val="24"/>
      <w:lang w:val="de-DE" w:eastAsia="de-DE"/>
    </w:rPr>
  </w:style>
  <w:style w:type="paragraph" w:customStyle="1" w:styleId="Pa9">
    <w:name w:val="Pa9"/>
    <w:basedOn w:val="Standard"/>
    <w:next w:val="Standard"/>
    <w:uiPriority w:val="99"/>
    <w:rsid w:val="00061EAE"/>
    <w:pPr>
      <w:tabs>
        <w:tab w:val="clear" w:pos="426"/>
        <w:tab w:val="clear" w:pos="851"/>
        <w:tab w:val="clear" w:pos="1276"/>
        <w:tab w:val="clear" w:pos="5216"/>
        <w:tab w:val="clear" w:pos="7938"/>
        <w:tab w:val="clear" w:pos="9299"/>
      </w:tabs>
      <w:autoSpaceDE w:val="0"/>
      <w:autoSpaceDN w:val="0"/>
      <w:adjustRightInd w:val="0"/>
      <w:spacing w:line="201" w:lineRule="atLeast"/>
    </w:pPr>
    <w:rPr>
      <w:rFonts w:ascii="Relevant" w:hAnsi="Relevant"/>
      <w:sz w:val="24"/>
      <w:szCs w:val="24"/>
    </w:rPr>
  </w:style>
  <w:style w:type="character" w:customStyle="1" w:styleId="A4">
    <w:name w:val="A4"/>
    <w:uiPriority w:val="99"/>
    <w:rsid w:val="00061EAE"/>
    <w:rPr>
      <w:rFonts w:cs="Relevant"/>
      <w:color w:val="000000"/>
      <w:sz w:val="11"/>
      <w:szCs w:val="11"/>
    </w:rPr>
  </w:style>
  <w:style w:type="paragraph" w:customStyle="1" w:styleId="Pa7">
    <w:name w:val="Pa7"/>
    <w:basedOn w:val="Standard"/>
    <w:next w:val="Standard"/>
    <w:uiPriority w:val="99"/>
    <w:rsid w:val="00061EAE"/>
    <w:pPr>
      <w:tabs>
        <w:tab w:val="clear" w:pos="426"/>
        <w:tab w:val="clear" w:pos="851"/>
        <w:tab w:val="clear" w:pos="1276"/>
        <w:tab w:val="clear" w:pos="5216"/>
        <w:tab w:val="clear" w:pos="7938"/>
        <w:tab w:val="clear" w:pos="9299"/>
      </w:tabs>
      <w:autoSpaceDE w:val="0"/>
      <w:autoSpaceDN w:val="0"/>
      <w:adjustRightInd w:val="0"/>
      <w:spacing w:line="201" w:lineRule="atLeast"/>
    </w:pPr>
    <w:rPr>
      <w:rFonts w:ascii="Relevant" w:hAnsi="Relevant"/>
      <w:sz w:val="24"/>
      <w:szCs w:val="24"/>
    </w:rPr>
  </w:style>
  <w:style w:type="character" w:customStyle="1" w:styleId="A10">
    <w:name w:val="A10"/>
    <w:uiPriority w:val="99"/>
    <w:rsid w:val="00542107"/>
    <w:rPr>
      <w:rFonts w:cs="Relevant"/>
      <w:color w:val="000000"/>
      <w:sz w:val="20"/>
      <w:szCs w:val="20"/>
      <w:u w:val="single"/>
    </w:rPr>
  </w:style>
  <w:style w:type="paragraph" w:customStyle="1" w:styleId="73Vertragstext">
    <w:name w:val="73 Vertragstext"/>
    <w:basedOn w:val="Standard"/>
    <w:rsid w:val="001632F4"/>
    <w:pPr>
      <w:tabs>
        <w:tab w:val="clear" w:pos="426"/>
        <w:tab w:val="clear" w:pos="851"/>
        <w:tab w:val="clear" w:pos="1276"/>
        <w:tab w:val="clear" w:pos="5216"/>
        <w:tab w:val="clear" w:pos="7938"/>
        <w:tab w:val="clear" w:pos="9299"/>
        <w:tab w:val="left" w:pos="397"/>
        <w:tab w:val="left" w:pos="794"/>
        <w:tab w:val="left" w:pos="1191"/>
        <w:tab w:val="left" w:pos="4479"/>
        <w:tab w:val="left" w:pos="4876"/>
        <w:tab w:val="left" w:pos="5273"/>
        <w:tab w:val="left" w:pos="5670"/>
        <w:tab w:val="left" w:pos="6067"/>
        <w:tab w:val="decimal" w:pos="8505"/>
      </w:tabs>
      <w:kinsoku w:val="0"/>
      <w:overflowPunct w:val="0"/>
      <w:autoSpaceDE w:val="0"/>
      <w:autoSpaceDN w:val="0"/>
      <w:spacing w:before="120" w:line="280" w:lineRule="atLeast"/>
      <w:jc w:val="both"/>
    </w:pPr>
    <w:rPr>
      <w:rFonts w:eastAsia="Arial Unicode MS" w:cs="Arial"/>
      <w:i/>
      <w:sz w:val="20"/>
      <w:szCs w:val="22"/>
    </w:rPr>
  </w:style>
  <w:style w:type="paragraph" w:customStyle="1" w:styleId="74Kommentartext">
    <w:name w:val="74 Kommentartext"/>
    <w:basedOn w:val="Standard"/>
    <w:rsid w:val="004D0461"/>
    <w:pPr>
      <w:tabs>
        <w:tab w:val="clear" w:pos="426"/>
        <w:tab w:val="clear" w:pos="851"/>
        <w:tab w:val="clear" w:pos="1276"/>
        <w:tab w:val="clear" w:pos="5216"/>
        <w:tab w:val="clear" w:pos="7938"/>
        <w:tab w:val="clear" w:pos="9299"/>
        <w:tab w:val="left" w:pos="397"/>
        <w:tab w:val="left" w:pos="794"/>
        <w:tab w:val="left" w:pos="1191"/>
        <w:tab w:val="left" w:pos="4479"/>
        <w:tab w:val="left" w:pos="4876"/>
        <w:tab w:val="left" w:pos="5273"/>
        <w:tab w:val="left" w:pos="5670"/>
        <w:tab w:val="left" w:pos="6067"/>
        <w:tab w:val="decimal" w:pos="8505"/>
      </w:tabs>
      <w:kinsoku w:val="0"/>
      <w:overflowPunct w:val="0"/>
      <w:autoSpaceDE w:val="0"/>
      <w:autoSpaceDN w:val="0"/>
      <w:spacing w:before="120" w:line="280" w:lineRule="atLeast"/>
      <w:jc w:val="both"/>
    </w:pPr>
    <w:rPr>
      <w:rFonts w:eastAsia="Arial Unicode MS" w:cs="Arial"/>
      <w:sz w:val="20"/>
      <w:szCs w:val="22"/>
    </w:rPr>
  </w:style>
  <w:style w:type="character" w:styleId="BesuchterLink">
    <w:name w:val="FollowedHyperlink"/>
    <w:basedOn w:val="Absatz-Standardschriftart"/>
    <w:rsid w:val="00284483"/>
    <w:rPr>
      <w:color w:val="954F72" w:themeColor="followedHyperlink"/>
      <w:u w:val="single"/>
    </w:rPr>
  </w:style>
  <w:style w:type="paragraph" w:styleId="NurText">
    <w:name w:val="Plain Text"/>
    <w:basedOn w:val="Standard"/>
    <w:link w:val="NurTextZchn"/>
    <w:rsid w:val="008348FA"/>
    <w:rPr>
      <w:rFonts w:ascii="Consolas" w:hAnsi="Consolas"/>
      <w:sz w:val="21"/>
      <w:szCs w:val="21"/>
    </w:rPr>
  </w:style>
  <w:style w:type="character" w:customStyle="1" w:styleId="NurTextZchn">
    <w:name w:val="Nur Text Zchn"/>
    <w:basedOn w:val="Absatz-Standardschriftart"/>
    <w:link w:val="NurText"/>
    <w:rsid w:val="008348FA"/>
    <w:rPr>
      <w:rFonts w:ascii="Consolas" w:hAnsi="Consolas"/>
      <w:sz w:val="21"/>
      <w:szCs w:val="21"/>
    </w:rPr>
  </w:style>
  <w:style w:type="paragraph" w:customStyle="1" w:styleId="71TitelVertrag1">
    <w:name w:val="71 Titel Vertrag 1."/>
    <w:basedOn w:val="Standard"/>
    <w:next w:val="Standard"/>
    <w:rsid w:val="00726A38"/>
    <w:pPr>
      <w:tabs>
        <w:tab w:val="clear" w:pos="851"/>
        <w:tab w:val="clear" w:pos="1276"/>
        <w:tab w:val="clear" w:pos="5216"/>
        <w:tab w:val="clear" w:pos="7938"/>
        <w:tab w:val="clear" w:pos="9299"/>
      </w:tabs>
      <w:kinsoku w:val="0"/>
      <w:overflowPunct w:val="0"/>
      <w:autoSpaceDE w:val="0"/>
      <w:autoSpaceDN w:val="0"/>
      <w:spacing w:before="120" w:after="120" w:line="320" w:lineRule="atLeast"/>
    </w:pPr>
    <w:rPr>
      <w:rFonts w:eastAsia="Arial Unicode MS" w:cs="Arial"/>
      <w:b/>
      <w:caps/>
      <w:szCs w:val="22"/>
    </w:rPr>
  </w:style>
  <w:style w:type="paragraph" w:customStyle="1" w:styleId="Pa28">
    <w:name w:val="Pa28"/>
    <w:basedOn w:val="Standard"/>
    <w:next w:val="Standard"/>
    <w:uiPriority w:val="99"/>
    <w:rsid w:val="005A3A99"/>
    <w:pPr>
      <w:tabs>
        <w:tab w:val="clear" w:pos="426"/>
        <w:tab w:val="clear" w:pos="851"/>
        <w:tab w:val="clear" w:pos="1276"/>
        <w:tab w:val="clear" w:pos="5216"/>
        <w:tab w:val="clear" w:pos="7938"/>
        <w:tab w:val="clear" w:pos="9299"/>
      </w:tabs>
      <w:autoSpaceDE w:val="0"/>
      <w:autoSpaceDN w:val="0"/>
      <w:adjustRightInd w:val="0"/>
      <w:spacing w:line="201" w:lineRule="atLeast"/>
    </w:pPr>
    <w:rPr>
      <w:rFonts w:ascii="Relevant" w:hAnsi="Relevan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2535683">
      <w:bodyDiv w:val="1"/>
      <w:marLeft w:val="0"/>
      <w:marRight w:val="0"/>
      <w:marTop w:val="0"/>
      <w:marBottom w:val="0"/>
      <w:divBdr>
        <w:top w:val="none" w:sz="0" w:space="0" w:color="auto"/>
        <w:left w:val="none" w:sz="0" w:space="0" w:color="auto"/>
        <w:bottom w:val="none" w:sz="0" w:space="0" w:color="auto"/>
        <w:right w:val="none" w:sz="0" w:space="0" w:color="auto"/>
      </w:divBdr>
    </w:div>
    <w:div w:id="2024671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afu.admin.ch/bafu/de/home/themen/abfall/publikationen-studien/publikationen/finanzierung-entsorgung-siedlungsabfaellen.htm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sg.ch/content/applikationen/publikationen/bauen__raum___umwelt/AFU/AbgrenzungSiedlungsabfaelleuebrigeAbfaelle/_jcr_content/Par/shopdetail/download.ocFile/AFU212.pdf" TargetMode="External"/><Relationship Id="rId4" Type="http://schemas.openxmlformats.org/officeDocument/2006/relationships/settings" Target="settings.xml"/><Relationship Id="rId9" Type="http://schemas.openxmlformats.org/officeDocument/2006/relationships/hyperlink" Target="https://www.bafu.admin.ch/bafu/de/home/suche.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25F5D7-B71C-4FE9-AA92-01F88DD648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3056</Words>
  <Characters>20833</Characters>
  <Application>Microsoft Office Word</Application>
  <DocSecurity>0</DocSecurity>
  <Lines>173</Lines>
  <Paragraphs>47</Paragraphs>
  <ScaleCrop>false</ScaleCrop>
  <HeadingPairs>
    <vt:vector size="2" baseType="variant">
      <vt:variant>
        <vt:lpstr>Titel</vt:lpstr>
      </vt:variant>
      <vt:variant>
        <vt:i4>1</vt:i4>
      </vt:variant>
    </vt:vector>
  </HeadingPairs>
  <TitlesOfParts>
    <vt:vector size="1" baseType="lpstr">
      <vt:lpstr>Muster Abfallreglement</vt:lpstr>
    </vt:vector>
  </TitlesOfParts>
  <Company>Amt für Umweltschutz</Company>
  <LinksUpToDate>false</LinksUpToDate>
  <CharactersWithSpaces>23842</CharactersWithSpaces>
  <SharedDoc>false</SharedDoc>
  <HLinks>
    <vt:vector size="6" baseType="variant">
      <vt:variant>
        <vt:i4>4063354</vt:i4>
      </vt:variant>
      <vt:variant>
        <vt:i4>0</vt:i4>
      </vt:variant>
      <vt:variant>
        <vt:i4>0</vt:i4>
      </vt:variant>
      <vt:variant>
        <vt:i4>5</vt:i4>
      </vt:variant>
      <vt:variant>
        <vt:lpwstr>http://www.admin.ch/ch/d/sr/814_610_1/app1.html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 Abfallreglement</dc:title>
  <dc:subject>Organisatorisches/Personelles</dc:subject>
  <dc:creator>H. Burri</dc:creator>
  <cp:keywords>AFU-RU-RD Rechtsdienst</cp:keywords>
  <dc:description>Version von 10.12.96</dc:description>
  <cp:lastModifiedBy>Anderegg Martin BD-AFU-RU</cp:lastModifiedBy>
  <cp:revision>17</cp:revision>
  <cp:lastPrinted>2019-01-18T09:50:00Z</cp:lastPrinted>
  <dcterms:created xsi:type="dcterms:W3CDTF">2019-02-15T10:03:00Z</dcterms:created>
  <dcterms:modified xsi:type="dcterms:W3CDTF">2019-02-26T09:28:00Z</dcterms:modified>
  <cp:category>Allgemein</cp:category>
</cp:coreProperties>
</file>