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BD14" w14:textId="77777777" w:rsidR="00FC4568" w:rsidRDefault="00FC4568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11E48661" w14:textId="77777777" w:rsidR="00FC4568" w:rsidRDefault="00FC4568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0703F01D" w14:textId="77777777" w:rsidR="005D3E90" w:rsidRPr="002F0CA6" w:rsidRDefault="00D76B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2F0CA6">
        <w:rPr>
          <w:sz w:val="20"/>
        </w:rPr>
        <w:t>Beträge in Schweizer Franken</w:t>
      </w: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985"/>
        <w:gridCol w:w="850"/>
        <w:gridCol w:w="2269"/>
        <w:gridCol w:w="1417"/>
        <w:gridCol w:w="1134"/>
      </w:tblGrid>
      <w:tr w:rsidR="00E82012" w:rsidRPr="002F0CA6" w14:paraId="4597BB3C" w14:textId="77777777" w:rsidTr="00FC4568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F36D7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2F0CA6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9AF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Verwaltungsrat </w:t>
            </w:r>
            <w:r w:rsidR="000F541A"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EB57C5" w14:textId="77777777" w:rsidR="00E82012" w:rsidRPr="002F0CA6" w:rsidRDefault="000F541A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Betriebs</w:t>
            </w:r>
            <w:r w:rsidR="00E82012" w:rsidRPr="002F0CA6">
              <w:rPr>
                <w:sz w:val="20"/>
              </w:rPr>
              <w:t xml:space="preserve">kommission </w:t>
            </w:r>
            <w:r>
              <w:rPr>
                <w:sz w:val="20"/>
              </w:rPr>
              <w:br/>
            </w:r>
            <w:r w:rsidR="00E82012" w:rsidRPr="002F0CA6">
              <w:rPr>
                <w:sz w:val="20"/>
              </w:rPr>
              <w:t>abschliessend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9321AB" w14:textId="77777777" w:rsidR="00E82012" w:rsidRPr="002F0CA6" w:rsidRDefault="0050160A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5C4" w14:textId="77777777" w:rsidR="00E82012" w:rsidRPr="002F0CA6" w:rsidRDefault="00E82012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 w:rsidRPr="002F0CA6">
              <w:rPr>
                <w:b w:val="0"/>
                <w:sz w:val="20"/>
              </w:rPr>
              <w:t>Verwaltun</w:t>
            </w:r>
            <w:r w:rsidR="000F541A">
              <w:rPr>
                <w:b w:val="0"/>
                <w:sz w:val="20"/>
              </w:rPr>
              <w:t>gsrat unter Vorbehalt des fakul</w:t>
            </w:r>
            <w:r w:rsidRPr="002F0CA6">
              <w:rPr>
                <w:b w:val="0"/>
                <w:sz w:val="20"/>
              </w:rPr>
              <w:t>t</w:t>
            </w:r>
            <w:r w:rsidR="000F541A">
              <w:rPr>
                <w:b w:val="0"/>
                <w:sz w:val="20"/>
              </w:rPr>
              <w:t>a</w:t>
            </w:r>
            <w:r w:rsidRPr="002F0CA6">
              <w:rPr>
                <w:b w:val="0"/>
                <w:sz w:val="20"/>
              </w:rPr>
              <w:t>tiven Referendums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D58F1B" w14:textId="77777777" w:rsidR="00E82012" w:rsidRPr="002F0CA6" w:rsidRDefault="000F541A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Bürgerver</w:t>
            </w:r>
            <w:r w:rsidR="00E82012" w:rsidRPr="002F0CA6">
              <w:rPr>
                <w:sz w:val="20"/>
              </w:rPr>
              <w:t>sammlung</w:t>
            </w:r>
            <w:r w:rsidR="00E82012" w:rsidRPr="002F0CA6">
              <w:rPr>
                <w:rStyle w:val="Funotenzeichen"/>
              </w:rPr>
              <w:footnoteReference w:id="1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3C5" w14:textId="77777777" w:rsidR="00E82012" w:rsidRPr="002F0CA6" w:rsidRDefault="000F541A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Urnen</w:t>
            </w:r>
            <w:r w:rsidR="00E82012" w:rsidRPr="002F0CA6">
              <w:rPr>
                <w:sz w:val="20"/>
              </w:rPr>
              <w:t>ab</w:t>
            </w:r>
            <w:r>
              <w:rPr>
                <w:sz w:val="20"/>
              </w:rPr>
              <w:t>stim</w:t>
            </w:r>
            <w:r w:rsidR="00E82012" w:rsidRPr="002F0CA6">
              <w:rPr>
                <w:sz w:val="20"/>
              </w:rPr>
              <w:t>mung</w:t>
            </w:r>
          </w:p>
        </w:tc>
      </w:tr>
      <w:tr w:rsidR="00E82012" w:rsidRPr="004B448F" w14:paraId="4120619F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F6D180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CFFA22" w14:textId="77777777" w:rsidR="00E82012" w:rsidRPr="004B448F" w:rsidRDefault="00E82012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BBD400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C0E22F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AB20B47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77358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0B48F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DBB7A1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2F0CA6" w14:paraId="5271B5AC" w14:textId="77777777" w:rsidTr="00FC4568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124DEB34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5244E695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einmalige neue Ausgaben</w:t>
            </w:r>
          </w:p>
          <w:p w14:paraId="384EC0EA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404BA23B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5" w:type="dxa"/>
            <w:shd w:val="clear" w:color="auto" w:fill="auto"/>
          </w:tcPr>
          <w:p w14:paraId="309B8761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shd w:val="clear" w:color="auto" w:fill="auto"/>
          </w:tcPr>
          <w:p w14:paraId="59A554D3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150'000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shd w:val="clear" w:color="auto" w:fill="auto"/>
          </w:tcPr>
          <w:p w14:paraId="36B41285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37596D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 150'000</w:t>
            </w:r>
            <w:r>
              <w:t xml:space="preserve"> </w:t>
            </w:r>
            <w:r>
              <w:br/>
            </w:r>
            <w:r w:rsidRPr="002F0CA6">
              <w:t>bis 1</w:t>
            </w:r>
            <w:r>
              <w:t>'</w:t>
            </w:r>
            <w:r w:rsidRPr="002F0CA6">
              <w:t>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6E6DA9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</w:t>
            </w:r>
            <w:r>
              <w:t>'</w:t>
            </w:r>
            <w:r w:rsidRPr="002F0CA6">
              <w:t>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2F0CA6" w14:paraId="1D0B7A40" w14:textId="77777777" w:rsidTr="00FC4568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537A0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7E1425" w14:textId="77777777" w:rsidR="00F70038" w:rsidRPr="002F0CA6" w:rsidRDefault="00F70038" w:rsidP="004E5B88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FD7BDF6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29F5D37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C7A81A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15'000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2488ABDD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361387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 15'000</w:t>
            </w:r>
            <w:r>
              <w:t xml:space="preserve"> </w:t>
            </w:r>
            <w:r>
              <w:br/>
            </w:r>
            <w:r w:rsidRPr="002F0CA6">
              <w:t>bis 100'000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97FE80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4B448F" w14:paraId="3EA3318C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DA59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58DFC" w14:textId="77777777" w:rsidR="00F70038" w:rsidRPr="004B448F" w:rsidRDefault="00F70038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4BC02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D9329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35E18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D7C29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108A3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2398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2F0CA6" w14:paraId="6707F0D4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B08B99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27DA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Ausgaben oder Mehrausgaben</w:t>
            </w:r>
            <w:r w:rsidRPr="002F0CA6">
              <w:rPr>
                <w:rStyle w:val="Funotenzeichen"/>
              </w:rPr>
              <w:footnoteReference w:id="2"/>
            </w:r>
            <w:r w:rsidRPr="002F0CA6">
              <w:rPr>
                <w:sz w:val="20"/>
              </w:rPr>
              <w:t>:</w:t>
            </w:r>
          </w:p>
          <w:p w14:paraId="554DA3A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D048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25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höchstens 50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28F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15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>000 je Fall, höchstens 25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 für das Ge</w:t>
            </w:r>
            <w:r w:rsidRPr="002F0CA6">
              <w:rPr>
                <w:sz w:val="20"/>
              </w:rPr>
              <w:softHyphen/>
              <w:t>meindeunternehmen betreffende Ausgaben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0253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D52A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150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soweit nicht der Verwaltungsrat oder die Betriebskommission abschliessend zuständig sind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69C7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 150'000</w:t>
            </w:r>
            <w:r>
              <w:t xml:space="preserve"> </w:t>
            </w:r>
            <w:r>
              <w:br/>
            </w:r>
            <w:r w:rsidRPr="002F0CA6">
              <w:t>bis 1</w:t>
            </w:r>
            <w:r>
              <w:t>'</w:t>
            </w:r>
            <w:r w:rsidRPr="002F0CA6">
              <w:t>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FA3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</w:t>
            </w:r>
            <w:r>
              <w:t>'</w:t>
            </w:r>
            <w:r w:rsidRPr="002F0CA6">
              <w:t>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2F0CA6" w14:paraId="2351D67C" w14:textId="77777777" w:rsidTr="00FC45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EF585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B67F" w14:textId="77777777" w:rsidR="00F70038" w:rsidRPr="004B448F" w:rsidRDefault="00F70038" w:rsidP="003D4D8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Dring</w:t>
            </w:r>
            <w:r>
              <w:rPr>
                <w:b/>
                <w:sz w:val="20"/>
              </w:rPr>
              <w:t>liche oder</w:t>
            </w:r>
            <w:r w:rsidRPr="004B448F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1568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abschliessend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0694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6C3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8F5D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CB8A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1E37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F70038" w:rsidRPr="004B448F" w14:paraId="0EE42902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E16DC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FB828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Grundstücke des Finanzvermögens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8C63F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A587F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1D269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1CA8D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D35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4B448F" w14:paraId="5E6FCE1B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5E187" w14:textId="77777777" w:rsidR="00F70038" w:rsidRPr="00593438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F3E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Erwerb:</w:t>
            </w:r>
            <w:r w:rsidRPr="004B448F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A210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bis 250</w:t>
            </w:r>
            <w:r>
              <w:rPr>
                <w:sz w:val="20"/>
              </w:rPr>
              <w:t>'</w:t>
            </w:r>
            <w:r w:rsidRPr="004B448F">
              <w:rPr>
                <w:sz w:val="20"/>
              </w:rPr>
              <w:t xml:space="preserve">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FBAF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112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7BC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>bis 500</w:t>
            </w:r>
            <w:r>
              <w:t>'</w:t>
            </w:r>
            <w:r w:rsidRPr="004B448F">
              <w:t xml:space="preserve">000 je Fall, </w:t>
            </w:r>
            <w:r w:rsidRPr="004B448F">
              <w:br/>
              <w:t>soweit nicht der Verwaltungsrat abschliessend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E2C0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>bis 1</w:t>
            </w:r>
            <w:r>
              <w:t>'</w:t>
            </w:r>
            <w:r w:rsidRPr="004B448F">
              <w:t xml:space="preserve">000'000 </w:t>
            </w:r>
            <w:r w:rsidRPr="004B448F">
              <w:br/>
              <w:t>je Fall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ED70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>1</w:t>
            </w:r>
            <w:r>
              <w:t>'</w:t>
            </w:r>
            <w:r w:rsidRPr="004B448F">
              <w:t xml:space="preserve">000'000 </w:t>
            </w:r>
            <w:r w:rsidRPr="004B448F">
              <w:br/>
              <w:t>je Fall</w:t>
            </w:r>
          </w:p>
        </w:tc>
      </w:tr>
      <w:tr w:rsidR="00F70038" w:rsidRPr="004B448F" w14:paraId="77EEAFF9" w14:textId="77777777" w:rsidTr="00FC45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42DBA5" w14:textId="77777777" w:rsidR="00F70038" w:rsidRPr="00593438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9C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Veräusserung und Begründung von Baurechten:</w:t>
            </w:r>
            <w:r w:rsidRPr="004B448F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0F8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bis 250</w:t>
            </w:r>
            <w:r>
              <w:rPr>
                <w:sz w:val="20"/>
              </w:rPr>
              <w:t>'</w:t>
            </w:r>
            <w:r w:rsidRPr="004B448F">
              <w:rPr>
                <w:sz w:val="20"/>
              </w:rPr>
              <w:t xml:space="preserve">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736C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FE14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2B3F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>bis 500</w:t>
            </w:r>
            <w:r>
              <w:t>'</w:t>
            </w:r>
            <w:r w:rsidRPr="004B448F">
              <w:t xml:space="preserve">000 je Fall, </w:t>
            </w:r>
            <w:r w:rsidRPr="004B448F">
              <w:br/>
              <w:t>soweit nicht der Verwaltungsrat abschliessend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CB88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>bis 1</w:t>
            </w:r>
            <w:r>
              <w:t>'</w:t>
            </w:r>
            <w:r w:rsidRPr="004B448F">
              <w:t xml:space="preserve">000'000 </w:t>
            </w:r>
            <w:r w:rsidRPr="004B448F">
              <w:br/>
              <w:t>je Fall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EA5D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>1</w:t>
            </w:r>
            <w:r>
              <w:t>'</w:t>
            </w:r>
            <w:r w:rsidRPr="004B448F">
              <w:t xml:space="preserve">000'000 </w:t>
            </w:r>
            <w:r w:rsidRPr="004B448F">
              <w:br/>
              <w:t>je Fall</w:t>
            </w:r>
          </w:p>
        </w:tc>
      </w:tr>
    </w:tbl>
    <w:p w14:paraId="1AE1DA85" w14:textId="77777777" w:rsidR="006739CC" w:rsidRPr="002F0CA6" w:rsidRDefault="006739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b/>
          <w:szCs w:val="22"/>
        </w:rPr>
      </w:pPr>
      <w:r w:rsidRPr="002F0CA6">
        <w:rPr>
          <w:b/>
          <w:szCs w:val="22"/>
        </w:rPr>
        <w:br w:type="page"/>
      </w:r>
    </w:p>
    <w:p w14:paraId="6588EBEB" w14:textId="77777777" w:rsidR="00B93F92" w:rsidRPr="002F0CA6" w:rsidRDefault="00B93F92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rPr>
          <w:b/>
          <w:sz w:val="20"/>
        </w:rPr>
      </w:pPr>
      <w:r w:rsidRPr="002F0CA6">
        <w:rPr>
          <w:b/>
          <w:sz w:val="20"/>
        </w:rPr>
        <w:lastRenderedPageBreak/>
        <w:t>Variante 1: Verzicht auf Urnenabstimmung</w:t>
      </w:r>
    </w:p>
    <w:p w14:paraId="50CF7AC6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42A5E70E" w14:textId="77777777" w:rsidR="00420C8A" w:rsidRPr="002F0CA6" w:rsidRDefault="00D76B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2F0CA6">
        <w:rPr>
          <w:sz w:val="20"/>
        </w:rPr>
        <w:t>Beträge in Schweizer Franken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985"/>
        <w:gridCol w:w="850"/>
        <w:gridCol w:w="2269"/>
        <w:gridCol w:w="1417"/>
      </w:tblGrid>
      <w:tr w:rsidR="00E82012" w:rsidRPr="002F0CA6" w14:paraId="45BF4F3F" w14:textId="77777777" w:rsidTr="00FC4568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DD7DA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2F0CA6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93F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Verwaltungsrat </w:t>
            </w:r>
            <w:r w:rsidR="000F541A"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2B43E3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Betriebskommission </w:t>
            </w:r>
            <w:r w:rsidR="000F541A"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D838AD" w14:textId="77777777" w:rsidR="00E82012" w:rsidRPr="002F0CA6" w:rsidRDefault="0050160A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D31" w14:textId="77777777" w:rsidR="00E82012" w:rsidRPr="002F0CA6" w:rsidRDefault="00E82012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 w:rsidRPr="002F0CA6">
              <w:rPr>
                <w:b w:val="0"/>
                <w:sz w:val="20"/>
              </w:rPr>
              <w:t>Verwaltun</w:t>
            </w:r>
            <w:r w:rsidR="000F541A">
              <w:rPr>
                <w:b w:val="0"/>
                <w:sz w:val="20"/>
              </w:rPr>
              <w:t>gsrat unter Vorbehalt des fakul</w:t>
            </w:r>
            <w:r w:rsidRPr="002F0CA6">
              <w:rPr>
                <w:b w:val="0"/>
                <w:sz w:val="20"/>
              </w:rPr>
              <w:t>tativen Referendums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A33" w14:textId="77777777" w:rsidR="00E82012" w:rsidRPr="002F0CA6" w:rsidRDefault="000F541A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Bürgerver</w:t>
            </w:r>
            <w:r w:rsidR="00E82012" w:rsidRPr="002F0CA6">
              <w:rPr>
                <w:sz w:val="20"/>
              </w:rPr>
              <w:t>sammlung</w:t>
            </w:r>
            <w:r w:rsidR="00E82012" w:rsidRPr="002F0CA6">
              <w:rPr>
                <w:rStyle w:val="Funotenzeichen"/>
              </w:rPr>
              <w:footnoteReference w:id="3"/>
            </w:r>
          </w:p>
        </w:tc>
      </w:tr>
      <w:tr w:rsidR="00E82012" w:rsidRPr="004B448F" w14:paraId="3488FCE7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5010FB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A85902" w14:textId="77777777" w:rsidR="00E82012" w:rsidRPr="004B448F" w:rsidRDefault="00E82012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6B63D1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0E10458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707F62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39D28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D71B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2F0CA6" w14:paraId="36E6CBC6" w14:textId="77777777" w:rsidTr="00FC4568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065AF872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6AF9EEAD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einmalige neue Ausgaben</w:t>
            </w:r>
          </w:p>
          <w:p w14:paraId="114644B5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4FC68FE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5" w:type="dxa"/>
            <w:shd w:val="clear" w:color="auto" w:fill="auto"/>
          </w:tcPr>
          <w:p w14:paraId="0F8C251B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shd w:val="clear" w:color="auto" w:fill="auto"/>
          </w:tcPr>
          <w:p w14:paraId="0E784485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150'000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shd w:val="clear" w:color="auto" w:fill="auto"/>
          </w:tcPr>
          <w:p w14:paraId="36E94F46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9309AC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 150'000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2F0CA6" w14:paraId="19DBECA4" w14:textId="77777777" w:rsidTr="00FC4568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243EE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8ED554" w14:textId="77777777" w:rsidR="00F70038" w:rsidRPr="002F0CA6" w:rsidRDefault="00F70038" w:rsidP="004E5B88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E9AB914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BB0BA2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2BA17C0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15'000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782DE8AE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4444370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 15'000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4B448F" w14:paraId="09BD8562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1217F6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DFDAD" w14:textId="77777777" w:rsidR="00F70038" w:rsidRPr="004B448F" w:rsidRDefault="00F70038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9B05C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FA372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E2728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0DBBB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999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2F0CA6" w14:paraId="3600B077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B2A910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A7F3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Ausgaben oder Mehrausgaben</w:t>
            </w:r>
            <w:r w:rsidRPr="002F0CA6">
              <w:rPr>
                <w:rStyle w:val="Funotenzeichen"/>
              </w:rPr>
              <w:footnoteReference w:id="4"/>
            </w:r>
            <w:r w:rsidRPr="002F0CA6">
              <w:rPr>
                <w:sz w:val="20"/>
              </w:rPr>
              <w:t>:</w:t>
            </w:r>
          </w:p>
          <w:p w14:paraId="3393E6A7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522F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25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höchstens 50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B3C8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15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>000 je Fall, höchstens 25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 für das Ge</w:t>
            </w:r>
            <w:r w:rsidRPr="002F0CA6">
              <w:rPr>
                <w:sz w:val="20"/>
              </w:rPr>
              <w:softHyphen/>
              <w:t>meindeunternehmen betreffende Ausgaben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F045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77F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150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soweit nicht der Verwaltungsrat oder </w:t>
            </w:r>
            <w:r>
              <w:rPr>
                <w:sz w:val="20"/>
              </w:rPr>
              <w:t>die Betriebskommis</w:t>
            </w:r>
            <w:r w:rsidRPr="002F0CA6">
              <w:rPr>
                <w:sz w:val="20"/>
              </w:rPr>
              <w:t>sion abschliessend zuständig sind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D37F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 150'000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2F0CA6" w14:paraId="7A4002B1" w14:textId="77777777" w:rsidTr="00FC45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E8C7D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F0CA6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6749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Dringliche oder</w:t>
            </w:r>
            <w:r w:rsidRPr="002F0CA6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2720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abschliessend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4AB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6E1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9FDF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0AD8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F70038" w:rsidRPr="004B448F" w14:paraId="2C9C4FA8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B434D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AFACA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Grundstücke des Finanzvermögens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3C81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FD06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9F1A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A66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4B448F" w14:paraId="17F5364B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A8A724" w14:textId="77777777" w:rsidR="00F70038" w:rsidRPr="00593438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D203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Erwerb:</w:t>
            </w:r>
            <w:r w:rsidRPr="004B448F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B74D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bis 250</w:t>
            </w:r>
            <w:r>
              <w:rPr>
                <w:sz w:val="20"/>
              </w:rPr>
              <w:t>'</w:t>
            </w:r>
            <w:r w:rsidRPr="004B448F">
              <w:rPr>
                <w:sz w:val="20"/>
              </w:rPr>
              <w:t xml:space="preserve">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C25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546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FBC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>bis 500</w:t>
            </w:r>
            <w:r>
              <w:t>'</w:t>
            </w:r>
            <w:r w:rsidRPr="004B448F">
              <w:t xml:space="preserve">000 je Fall, </w:t>
            </w:r>
            <w:r w:rsidRPr="004B448F">
              <w:br/>
              <w:t>soweit nicht der Verwaltungsrat abschliessend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089D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>je Fall</w:t>
            </w:r>
          </w:p>
        </w:tc>
      </w:tr>
      <w:tr w:rsidR="00F70038" w:rsidRPr="004B448F" w14:paraId="52BA03D8" w14:textId="77777777" w:rsidTr="00FC45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0AB1F" w14:textId="77777777" w:rsidR="00F70038" w:rsidRPr="00593438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FDE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Veräusserung und Begründung von Baurechten:</w:t>
            </w:r>
            <w:r w:rsidRPr="004B448F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F5B0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bis 250</w:t>
            </w:r>
            <w:r>
              <w:rPr>
                <w:sz w:val="20"/>
              </w:rPr>
              <w:t>'</w:t>
            </w:r>
            <w:r w:rsidRPr="004B448F">
              <w:rPr>
                <w:sz w:val="20"/>
              </w:rPr>
              <w:t xml:space="preserve">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A1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1B94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FD0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>bis 500</w:t>
            </w:r>
            <w:r>
              <w:t>'</w:t>
            </w:r>
            <w:r w:rsidRPr="004B448F">
              <w:t xml:space="preserve">000 je Fall, </w:t>
            </w:r>
            <w:r w:rsidRPr="004B448F">
              <w:br/>
              <w:t>soweit nicht der Verwaltungsrat abschliessend zuständig 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D091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>je Fall</w:t>
            </w:r>
          </w:p>
        </w:tc>
      </w:tr>
    </w:tbl>
    <w:p w14:paraId="45326603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szCs w:val="22"/>
        </w:rPr>
      </w:pPr>
      <w:r w:rsidRPr="002F0CA6">
        <w:rPr>
          <w:szCs w:val="22"/>
        </w:rPr>
        <w:br w:type="page"/>
      </w:r>
    </w:p>
    <w:p w14:paraId="39805430" w14:textId="77777777" w:rsidR="00B93F92" w:rsidRPr="002F0CA6" w:rsidRDefault="00B93F92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rPr>
          <w:b/>
          <w:sz w:val="20"/>
        </w:rPr>
      </w:pPr>
      <w:r w:rsidRPr="002F0CA6">
        <w:rPr>
          <w:b/>
          <w:sz w:val="20"/>
        </w:rPr>
        <w:lastRenderedPageBreak/>
        <w:t>Variante 2: Obligatorische Beschlussfassung nur mit Urnenabstimmung</w:t>
      </w:r>
    </w:p>
    <w:p w14:paraId="0B2A79C7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778E6D94" w14:textId="77777777" w:rsidR="00420C8A" w:rsidRPr="002F0CA6" w:rsidRDefault="00D76B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2F0CA6">
        <w:rPr>
          <w:sz w:val="20"/>
        </w:rPr>
        <w:t>Beträge in Schweizer Franken</w:t>
      </w: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985"/>
        <w:gridCol w:w="850"/>
        <w:gridCol w:w="2269"/>
        <w:gridCol w:w="1134"/>
      </w:tblGrid>
      <w:tr w:rsidR="00E82012" w:rsidRPr="002F0CA6" w14:paraId="0608ADEB" w14:textId="77777777" w:rsidTr="00FC4568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EC000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2F0CA6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5F2" w14:textId="77777777" w:rsidR="00E82012" w:rsidRPr="002F0CA6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Verwaltungsrat </w:t>
            </w:r>
            <w:r w:rsidR="000F541A"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CD2581" w14:textId="77777777" w:rsidR="00E82012" w:rsidRPr="002F0CA6" w:rsidRDefault="000F541A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Betriebs</w:t>
            </w:r>
            <w:r w:rsidR="00E82012" w:rsidRPr="002F0CA6">
              <w:rPr>
                <w:sz w:val="20"/>
              </w:rPr>
              <w:t xml:space="preserve">kommission </w:t>
            </w:r>
            <w:r>
              <w:rPr>
                <w:sz w:val="20"/>
              </w:rPr>
              <w:br/>
            </w:r>
            <w:r w:rsidR="00FC4568">
              <w:rPr>
                <w:sz w:val="20"/>
              </w:rPr>
              <w:t>a</w:t>
            </w:r>
            <w:r w:rsidR="00E82012" w:rsidRPr="002F0CA6">
              <w:rPr>
                <w:sz w:val="20"/>
              </w:rPr>
              <w:t>bschliessend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248F5F" w14:textId="77777777" w:rsidR="00E82012" w:rsidRPr="002F0CA6" w:rsidRDefault="0050160A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A41" w14:textId="77777777" w:rsidR="00E82012" w:rsidRPr="002F0CA6" w:rsidRDefault="00E82012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 w:rsidRPr="002F0CA6">
              <w:rPr>
                <w:b w:val="0"/>
                <w:sz w:val="20"/>
              </w:rPr>
              <w:t>Verwaltun</w:t>
            </w:r>
            <w:r w:rsidR="000F541A">
              <w:rPr>
                <w:b w:val="0"/>
                <w:sz w:val="20"/>
              </w:rPr>
              <w:t>gsrat unter Vorbehalt des fakul</w:t>
            </w:r>
            <w:r w:rsidRPr="002F0CA6">
              <w:rPr>
                <w:b w:val="0"/>
                <w:sz w:val="20"/>
              </w:rPr>
              <w:t>tativen Referendums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909" w14:textId="77777777" w:rsidR="00E82012" w:rsidRPr="002F0CA6" w:rsidRDefault="000F541A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Urnen</w:t>
            </w:r>
            <w:r w:rsidR="00E82012" w:rsidRPr="002F0CA6">
              <w:rPr>
                <w:sz w:val="20"/>
              </w:rPr>
              <w:t>ab</w:t>
            </w:r>
            <w:r>
              <w:rPr>
                <w:sz w:val="20"/>
              </w:rPr>
              <w:t>stim</w:t>
            </w:r>
            <w:r w:rsidR="00E82012" w:rsidRPr="002F0CA6">
              <w:rPr>
                <w:sz w:val="20"/>
              </w:rPr>
              <w:t>mung</w:t>
            </w:r>
          </w:p>
        </w:tc>
      </w:tr>
      <w:tr w:rsidR="00E82012" w:rsidRPr="004B448F" w14:paraId="711F4546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604B636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CF050A" w14:textId="77777777" w:rsidR="00E82012" w:rsidRPr="004B448F" w:rsidRDefault="00E82012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A013F28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E091EF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E4B64B4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30FEC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66DC53" w14:textId="77777777" w:rsidR="00E82012" w:rsidRPr="004B448F" w:rsidRDefault="00E82012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2F0CA6" w14:paraId="00BBA3E7" w14:textId="77777777" w:rsidTr="00FC4568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57B18890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50D0D926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einmalige neue Ausgaben</w:t>
            </w:r>
          </w:p>
          <w:p w14:paraId="772762AA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3D01081F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5" w:type="dxa"/>
            <w:shd w:val="clear" w:color="auto" w:fill="auto"/>
          </w:tcPr>
          <w:p w14:paraId="6BA16A8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shd w:val="clear" w:color="auto" w:fill="auto"/>
          </w:tcPr>
          <w:p w14:paraId="2A815C2B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150'000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shd w:val="clear" w:color="auto" w:fill="auto"/>
          </w:tcPr>
          <w:p w14:paraId="3FB9B942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04F86F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150'000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2F0CA6" w14:paraId="02F2E112" w14:textId="77777777" w:rsidTr="00FC4568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8B85C6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97C0E4" w14:textId="77777777" w:rsidR="00F70038" w:rsidRPr="002F0CA6" w:rsidRDefault="00F70038" w:rsidP="004E5B88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0CFC677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DFDA2B1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6572382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15'000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7FA2FCF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08DC29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15'000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4B448F" w14:paraId="2A0D7505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B130A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44A97" w14:textId="77777777" w:rsidR="00F70038" w:rsidRPr="004B448F" w:rsidRDefault="00F70038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5E1E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D87E1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29A8F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00EEF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9608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2F0CA6" w14:paraId="2E93DA12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EF890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8B8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Ausgaben oder Mehrausgaben</w:t>
            </w:r>
            <w:r w:rsidRPr="002F0CA6">
              <w:rPr>
                <w:rStyle w:val="Funotenzeichen"/>
              </w:rPr>
              <w:footnoteReference w:id="5"/>
            </w:r>
            <w:r w:rsidRPr="002F0CA6">
              <w:rPr>
                <w:sz w:val="20"/>
              </w:rPr>
              <w:t>:</w:t>
            </w:r>
          </w:p>
          <w:p w14:paraId="4FD04E87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74A0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25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höchstens 50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E0F7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15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>000 je Fall, höchstens 25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je Jahr für das Ge</w:t>
            </w:r>
            <w:r>
              <w:rPr>
                <w:sz w:val="20"/>
              </w:rPr>
              <w:softHyphen/>
              <w:t>meindeunternehmen betref</w:t>
            </w:r>
            <w:r w:rsidRPr="002F0CA6">
              <w:rPr>
                <w:sz w:val="20"/>
              </w:rPr>
              <w:t>fende Ausgaben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181B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9C5F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bis 150</w:t>
            </w:r>
            <w:r>
              <w:rPr>
                <w:sz w:val="20"/>
              </w:rPr>
              <w:t>'</w:t>
            </w:r>
            <w:r w:rsidRPr="002F0CA6">
              <w:rPr>
                <w:sz w:val="20"/>
              </w:rPr>
              <w:t xml:space="preserve">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soweit nicht der Verwaltungsrat oder die Betriebskommission abschliessend zuständig sind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DD2E" w14:textId="77777777" w:rsidR="00F70038" w:rsidRPr="002F0CA6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150'000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F70038" w:rsidRPr="002F0CA6" w14:paraId="0D558C86" w14:textId="77777777" w:rsidTr="00FC45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1AC64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F0CA6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FF3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Dringliche oder</w:t>
            </w:r>
            <w:r w:rsidRPr="002F0CA6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5E6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abschliessend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4A92" w14:textId="77777777" w:rsidR="00F70038" w:rsidRPr="002F0CA6" w:rsidRDefault="00F70038" w:rsidP="006C076A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AE1C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57BD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D942" w14:textId="77777777" w:rsidR="00F70038" w:rsidRPr="002F0CA6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F70038" w:rsidRPr="004B448F" w14:paraId="1A9EFA03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CB87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D612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Grundstücke des Finanzvermögens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510A7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C9755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6685B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21AE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F70038" w:rsidRPr="004B448F" w14:paraId="78472189" w14:textId="77777777" w:rsidTr="00FC45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A0AD9" w14:textId="77777777" w:rsidR="00F70038" w:rsidRPr="00593438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04CB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Erwerb:</w:t>
            </w:r>
            <w:r w:rsidRPr="004B448F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10B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bis 250</w:t>
            </w:r>
            <w:r>
              <w:rPr>
                <w:sz w:val="20"/>
              </w:rPr>
              <w:t>'</w:t>
            </w:r>
            <w:r w:rsidRPr="004B448F">
              <w:rPr>
                <w:sz w:val="20"/>
              </w:rPr>
              <w:t xml:space="preserve">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CFE8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DA1C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546A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>bis 500</w:t>
            </w:r>
            <w:r>
              <w:t>'</w:t>
            </w:r>
            <w:r w:rsidRPr="004B448F">
              <w:t xml:space="preserve">000 je Fall, </w:t>
            </w:r>
            <w:r w:rsidRPr="004B448F">
              <w:br/>
              <w:t>soweit nicht der Verwaltungsrat abschliessend zuständig 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4418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 xml:space="preserve">500'000 </w:t>
            </w:r>
            <w:r w:rsidRPr="004B448F">
              <w:br/>
              <w:t>je Fall</w:t>
            </w:r>
          </w:p>
        </w:tc>
      </w:tr>
      <w:tr w:rsidR="00F70038" w:rsidRPr="004B448F" w14:paraId="676A3714" w14:textId="77777777" w:rsidTr="00FC45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E7649" w14:textId="77777777" w:rsidR="00F70038" w:rsidRPr="00593438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AF8E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Veräusserung und Begründung von Baurechten:</w:t>
            </w:r>
            <w:r w:rsidRPr="004B448F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6AD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bis 250</w:t>
            </w:r>
            <w:r>
              <w:rPr>
                <w:sz w:val="20"/>
              </w:rPr>
              <w:t>'</w:t>
            </w:r>
            <w:r w:rsidRPr="004B448F">
              <w:rPr>
                <w:sz w:val="20"/>
              </w:rPr>
              <w:t xml:space="preserve">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5E9D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8455" w14:textId="77777777" w:rsidR="00F70038" w:rsidRPr="004B448F" w:rsidRDefault="00F7003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5573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>bis 500</w:t>
            </w:r>
            <w:r>
              <w:t>'</w:t>
            </w:r>
            <w:r w:rsidRPr="004B448F">
              <w:t xml:space="preserve">000 je Fall, </w:t>
            </w:r>
            <w:r w:rsidRPr="004B448F">
              <w:br/>
              <w:t>soweit nicht der Verwaltungsrat abschliessend zuständig 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277" w14:textId="77777777" w:rsidR="00F70038" w:rsidRPr="004B448F" w:rsidRDefault="00F7003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 xml:space="preserve">500'000 </w:t>
            </w:r>
            <w:r w:rsidRPr="004B448F">
              <w:br/>
              <w:t>je Fall</w:t>
            </w:r>
          </w:p>
        </w:tc>
      </w:tr>
    </w:tbl>
    <w:p w14:paraId="70CFF106" w14:textId="77777777" w:rsidR="00FC4568" w:rsidRPr="00FC4568" w:rsidRDefault="00420C8A" w:rsidP="00B24E1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szCs w:val="22"/>
        </w:rPr>
      </w:pPr>
      <w:r w:rsidRPr="002F0CA6">
        <w:rPr>
          <w:szCs w:val="22"/>
        </w:rPr>
        <w:br w:type="page"/>
      </w:r>
    </w:p>
    <w:p w14:paraId="745E6F8F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 w:val="24"/>
          <w:szCs w:val="24"/>
        </w:rPr>
      </w:pPr>
      <w:r w:rsidRPr="002F0CA6">
        <w:rPr>
          <w:b/>
          <w:sz w:val="24"/>
          <w:szCs w:val="24"/>
        </w:rPr>
        <w:lastRenderedPageBreak/>
        <w:t>Erläuterungen zum Anhang</w:t>
      </w:r>
      <w:r w:rsidR="001911EE" w:rsidRPr="002F0CA6">
        <w:rPr>
          <w:b/>
          <w:sz w:val="24"/>
          <w:szCs w:val="24"/>
        </w:rPr>
        <w:t xml:space="preserve"> Finanzbefugnisse</w:t>
      </w:r>
    </w:p>
    <w:p w14:paraId="65EAAEDE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77436678" w14:textId="77777777" w:rsidR="004943ED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Allgemeines</w:t>
      </w:r>
    </w:p>
    <w:p w14:paraId="6FBEF20B" w14:textId="77777777" w:rsidR="004A61D8" w:rsidRPr="002F0CA6" w:rsidRDefault="004A61D8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Die eingefügten Werte veranschaulichen das Muster und sind nicht verbindlich</w:t>
      </w:r>
      <w:r w:rsidR="00E46A29" w:rsidRPr="002F0CA6">
        <w:rPr>
          <w:sz w:val="22"/>
          <w:szCs w:val="22"/>
        </w:rPr>
        <w:t>.</w:t>
      </w:r>
      <w:r w:rsidRPr="002F0CA6">
        <w:rPr>
          <w:sz w:val="22"/>
          <w:szCs w:val="22"/>
        </w:rPr>
        <w:t xml:space="preserve"> </w:t>
      </w:r>
      <w:r w:rsidR="009A7777" w:rsidRPr="002F0CA6">
        <w:rPr>
          <w:sz w:val="22"/>
          <w:szCs w:val="22"/>
        </w:rPr>
        <w:t xml:space="preserve">Die Werte sind den Verhältnissen der </w:t>
      </w:r>
      <w:r w:rsidR="00593438">
        <w:rPr>
          <w:sz w:val="22"/>
          <w:szCs w:val="22"/>
        </w:rPr>
        <w:t>Spezialg</w:t>
      </w:r>
      <w:r w:rsidR="009A7777" w:rsidRPr="002F0CA6">
        <w:rPr>
          <w:sz w:val="22"/>
          <w:szCs w:val="22"/>
        </w:rPr>
        <w:t xml:space="preserve">emeinde anzupassen. </w:t>
      </w:r>
      <w:r w:rsidRPr="002F0CA6">
        <w:rPr>
          <w:sz w:val="22"/>
          <w:szCs w:val="22"/>
        </w:rPr>
        <w:t xml:space="preserve">Der Begriff </w:t>
      </w:r>
      <w:r w:rsidR="00F976AE">
        <w:rPr>
          <w:sz w:val="22"/>
          <w:szCs w:val="22"/>
        </w:rPr>
        <w:t>"</w:t>
      </w:r>
      <w:r w:rsidRPr="002F0CA6">
        <w:rPr>
          <w:sz w:val="22"/>
          <w:szCs w:val="22"/>
        </w:rPr>
        <w:t>bis</w:t>
      </w:r>
      <w:r w:rsidR="00F976AE">
        <w:rPr>
          <w:sz w:val="22"/>
          <w:szCs w:val="22"/>
        </w:rPr>
        <w:t>"</w:t>
      </w:r>
      <w:r w:rsidRPr="002F0CA6">
        <w:rPr>
          <w:sz w:val="22"/>
          <w:szCs w:val="22"/>
        </w:rPr>
        <w:t xml:space="preserve"> ist einschliesslich zu verstehen.</w:t>
      </w:r>
    </w:p>
    <w:p w14:paraId="0B5871EE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5B177A85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Begriff: Besonderer Beschluss der Bürgerschaft</w:t>
      </w:r>
    </w:p>
    <w:p w14:paraId="2EC42FF6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Kredite werden u.a. durch besondere Beschlüsse der Bür</w:t>
      </w:r>
      <w:r w:rsidR="007E3238">
        <w:rPr>
          <w:sz w:val="22"/>
          <w:szCs w:val="22"/>
        </w:rPr>
        <w:t>gerschaft gewährt (Art. </w:t>
      </w:r>
      <w:r w:rsidRPr="002F0CA6">
        <w:rPr>
          <w:sz w:val="22"/>
          <w:szCs w:val="22"/>
        </w:rPr>
        <w:t>117 Abs.</w:t>
      </w:r>
      <w:r w:rsidR="007E3238">
        <w:rPr>
          <w:sz w:val="22"/>
          <w:szCs w:val="22"/>
        </w:rPr>
        <w:t> </w:t>
      </w:r>
      <w:r w:rsidRPr="002F0CA6">
        <w:rPr>
          <w:sz w:val="22"/>
          <w:szCs w:val="22"/>
        </w:rPr>
        <w:t>1 GG). Als besondere Beschlüsse der Bürgerschaft gelten: Unterstellung unter das fakultative Referendum, Beschluss der Bürgerversammlung und Urnenabstimmung. Ein besonderer Beschluss der Bürgerschaft ist mindestens immer dann erforderlich, wenn es um eine Ausgabe von grosser finanzieller Tragweite geht.</w:t>
      </w:r>
    </w:p>
    <w:p w14:paraId="3770BC92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7AFEFC76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Spalte Betriebskom</w:t>
      </w:r>
      <w:bookmarkStart w:id="0" w:name="_GoBack"/>
      <w:bookmarkEnd w:id="0"/>
      <w:r w:rsidRPr="002F0CA6">
        <w:rPr>
          <w:b/>
          <w:szCs w:val="22"/>
        </w:rPr>
        <w:t>mission abschliessend</w:t>
      </w:r>
    </w:p>
    <w:p w14:paraId="23282963" w14:textId="77777777" w:rsidR="004A61D8" w:rsidRPr="002F0CA6" w:rsidRDefault="004A61D8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Diese Spalte ist nur nötig, wenn ein unselbständiges öffentlich-rechtliches Unternehmen besteht, welches durch eine Betriebskommission geführt wird.</w:t>
      </w:r>
    </w:p>
    <w:p w14:paraId="56C891CE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678E79AE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 xml:space="preserve">Spalte </w:t>
      </w:r>
      <w:commentRangeStart w:id="1"/>
      <w:r w:rsidR="0050160A">
        <w:rPr>
          <w:b/>
          <w:szCs w:val="22"/>
        </w:rPr>
        <w:t>Budget</w:t>
      </w:r>
      <w:commentRangeEnd w:id="1"/>
      <w:r w:rsidR="0050160A">
        <w:rPr>
          <w:rStyle w:val="Kommentarzeichen"/>
        </w:rPr>
        <w:commentReference w:id="1"/>
      </w:r>
    </w:p>
    <w:p w14:paraId="5FDEECFD" w14:textId="77777777" w:rsidR="004A61D8" w:rsidRPr="002F0CA6" w:rsidRDefault="0050160A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>
        <w:rPr>
          <w:sz w:val="22"/>
          <w:szCs w:val="22"/>
        </w:rPr>
        <w:t>Kredite werden u.a. mit dem</w:t>
      </w:r>
      <w:r w:rsidR="004A61D8" w:rsidRPr="002F0CA6">
        <w:rPr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 w:rsidR="007E3238">
        <w:rPr>
          <w:sz w:val="22"/>
          <w:szCs w:val="22"/>
        </w:rPr>
        <w:t xml:space="preserve"> gewährt (Art. 117 Abs. </w:t>
      </w:r>
      <w:r w:rsidR="004A61D8" w:rsidRPr="002F0CA6">
        <w:rPr>
          <w:sz w:val="22"/>
          <w:szCs w:val="22"/>
        </w:rPr>
        <w:t>1 GG).</w:t>
      </w:r>
    </w:p>
    <w:p w14:paraId="06368B84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7593061D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 xml:space="preserve">Spalte </w:t>
      </w:r>
      <w:r w:rsidR="003460B6" w:rsidRPr="002F0CA6">
        <w:rPr>
          <w:b/>
          <w:szCs w:val="22"/>
        </w:rPr>
        <w:t>Verwaltungsrat</w:t>
      </w:r>
      <w:r w:rsidR="00BC1CD7" w:rsidRPr="002F0CA6">
        <w:rPr>
          <w:b/>
          <w:szCs w:val="22"/>
        </w:rPr>
        <w:t>, unter Vorbehalt des fakultativen Referendums</w:t>
      </w:r>
    </w:p>
    <w:p w14:paraId="245E8B76" w14:textId="77777777" w:rsidR="00BC1CD7" w:rsidRPr="002F0CA6" w:rsidRDefault="007E3238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>
        <w:rPr>
          <w:sz w:val="22"/>
          <w:szCs w:val="22"/>
        </w:rPr>
        <w:t>Das fakultative Referendum kann</w:t>
      </w:r>
      <w:r w:rsidR="00BC1CD7" w:rsidRPr="002F0CA6">
        <w:rPr>
          <w:sz w:val="22"/>
          <w:szCs w:val="22"/>
        </w:rPr>
        <w:t xml:space="preserve"> nach Art. 23 Bst. d GG in der Gemeindeordnung vorgesehen werden.</w:t>
      </w:r>
    </w:p>
    <w:p w14:paraId="5A18EA55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08E2AF20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b/>
          <w:sz w:val="22"/>
          <w:szCs w:val="22"/>
        </w:rPr>
      </w:pPr>
      <w:r w:rsidRPr="002F0CA6">
        <w:rPr>
          <w:b/>
          <w:sz w:val="22"/>
          <w:szCs w:val="22"/>
        </w:rPr>
        <w:t>Z</w:t>
      </w:r>
      <w:r w:rsidR="00E46A29" w:rsidRPr="002F0CA6">
        <w:rPr>
          <w:b/>
          <w:sz w:val="22"/>
          <w:szCs w:val="22"/>
        </w:rPr>
        <w:t>iff.</w:t>
      </w:r>
      <w:r w:rsidRPr="002F0CA6">
        <w:rPr>
          <w:b/>
          <w:sz w:val="22"/>
          <w:szCs w:val="22"/>
        </w:rPr>
        <w:t xml:space="preserve"> 2: Unvorhersehbare neue Ausgaben</w:t>
      </w:r>
    </w:p>
    <w:p w14:paraId="7B6515D8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 xml:space="preserve">Die Bürgerschaft kann den </w:t>
      </w:r>
      <w:r w:rsidR="003460B6" w:rsidRPr="002F0CA6">
        <w:rPr>
          <w:sz w:val="22"/>
          <w:szCs w:val="22"/>
        </w:rPr>
        <w:t>Verwaltungsrat</w:t>
      </w:r>
      <w:r w:rsidRPr="002F0CA6">
        <w:rPr>
          <w:sz w:val="22"/>
          <w:szCs w:val="22"/>
        </w:rPr>
        <w:t xml:space="preserve"> ermächtigen, unvorhersehbare Ausgaben bis zu einer bestimm</w:t>
      </w:r>
      <w:r w:rsidR="007E3238">
        <w:rPr>
          <w:sz w:val="22"/>
          <w:szCs w:val="22"/>
        </w:rPr>
        <w:t>ten Höhe zu beschliessen (Art. 117 Abs. </w:t>
      </w:r>
      <w:r w:rsidRPr="002F0CA6">
        <w:rPr>
          <w:sz w:val="22"/>
          <w:szCs w:val="22"/>
        </w:rPr>
        <w:t xml:space="preserve">3 GG). Soweit der Kredit nicht ausreicht, ist </w:t>
      </w:r>
      <w:r w:rsidR="00122790" w:rsidRPr="002F0CA6">
        <w:rPr>
          <w:sz w:val="22"/>
          <w:szCs w:val="22"/>
        </w:rPr>
        <w:t xml:space="preserve">für Mehrausgaben </w:t>
      </w:r>
      <w:r w:rsidRPr="002F0CA6">
        <w:rPr>
          <w:sz w:val="22"/>
          <w:szCs w:val="22"/>
        </w:rPr>
        <w:t>die Einholung eines Nachtragskr</w:t>
      </w:r>
      <w:r w:rsidR="007E3238">
        <w:rPr>
          <w:sz w:val="22"/>
          <w:szCs w:val="22"/>
        </w:rPr>
        <w:t>edites notwendig (Art. 116 Abs. </w:t>
      </w:r>
      <w:r w:rsidRPr="002F0CA6">
        <w:rPr>
          <w:sz w:val="22"/>
          <w:szCs w:val="22"/>
        </w:rPr>
        <w:t>2 GG).</w:t>
      </w:r>
    </w:p>
    <w:p w14:paraId="7003FAA6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63B3A3D2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b/>
          <w:sz w:val="22"/>
          <w:szCs w:val="22"/>
        </w:rPr>
      </w:pPr>
      <w:r w:rsidRPr="002F0CA6">
        <w:rPr>
          <w:b/>
          <w:sz w:val="22"/>
          <w:szCs w:val="22"/>
        </w:rPr>
        <w:t>Z</w:t>
      </w:r>
      <w:r w:rsidR="00E46A29" w:rsidRPr="002F0CA6">
        <w:rPr>
          <w:b/>
          <w:sz w:val="22"/>
          <w:szCs w:val="22"/>
        </w:rPr>
        <w:t>iff.</w:t>
      </w:r>
      <w:r w:rsidRPr="002F0CA6">
        <w:rPr>
          <w:b/>
          <w:sz w:val="22"/>
          <w:szCs w:val="22"/>
        </w:rPr>
        <w:t xml:space="preserve"> 3: Dringliche und gebundene Ausgaben</w:t>
      </w:r>
    </w:p>
    <w:p w14:paraId="7DA09051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Der Rat kann dringliche oder gebundene Ausgaben ohne Kredit tätigen (Art.</w:t>
      </w:r>
      <w:r w:rsidR="007E3238">
        <w:rPr>
          <w:sz w:val="22"/>
          <w:szCs w:val="22"/>
        </w:rPr>
        <w:t> </w:t>
      </w:r>
      <w:r w:rsidRPr="002F0CA6">
        <w:rPr>
          <w:sz w:val="22"/>
          <w:szCs w:val="22"/>
        </w:rPr>
        <w:t>118 GG).</w:t>
      </w:r>
      <w:r w:rsidR="00122790" w:rsidRPr="002F0CA6">
        <w:rPr>
          <w:sz w:val="22"/>
          <w:szCs w:val="22"/>
        </w:rPr>
        <w:t xml:space="preserve"> </w:t>
      </w:r>
      <w:r w:rsidRPr="002F0CA6">
        <w:rPr>
          <w:sz w:val="22"/>
          <w:szCs w:val="22"/>
        </w:rPr>
        <w:t>Als gebunden werden Mehrausgaben als Folge der Teuerung und für Gegenstände, in denen kein grösserer Ermessensbereich gegeben ist, betrachtet.</w:t>
      </w:r>
    </w:p>
    <w:p w14:paraId="13CD7C3F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4D244A70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Z</w:t>
      </w:r>
      <w:r w:rsidR="00E46A29" w:rsidRPr="002F0CA6">
        <w:rPr>
          <w:b/>
          <w:szCs w:val="22"/>
        </w:rPr>
        <w:t>iff.</w:t>
      </w:r>
      <w:r w:rsidRPr="002F0CA6">
        <w:rPr>
          <w:b/>
          <w:szCs w:val="22"/>
        </w:rPr>
        <w:t xml:space="preserve"> 4: Grundstücke des Finanzvermögens</w:t>
      </w:r>
    </w:p>
    <w:p w14:paraId="04488475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 xml:space="preserve">Ohne Regelung in der Gemeindeordnung ist allein der </w:t>
      </w:r>
      <w:r w:rsidR="003460B6" w:rsidRPr="002F0CA6">
        <w:rPr>
          <w:sz w:val="22"/>
          <w:szCs w:val="22"/>
        </w:rPr>
        <w:t>Verwaltungsrat</w:t>
      </w:r>
      <w:r w:rsidRPr="002F0CA6">
        <w:rPr>
          <w:sz w:val="22"/>
          <w:szCs w:val="22"/>
        </w:rPr>
        <w:t xml:space="preserve"> für den Erwerb und die Veräusserung von Grundstücken des Finanzvermögens zuständig.</w:t>
      </w:r>
    </w:p>
    <w:sectPr w:rsidR="00BC1CD7" w:rsidRPr="002F0CA6" w:rsidSect="00555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021" w:right="1134" w:bottom="567" w:left="1304" w:header="720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73F98D74" w14:textId="77777777" w:rsidR="0050160A" w:rsidRDefault="0050160A">
      <w:pPr>
        <w:pStyle w:val="Kommentartext"/>
      </w:pPr>
      <w:r>
        <w:rPr>
          <w:rStyle w:val="Kommentarzeichen"/>
        </w:rPr>
        <w:annotationRef/>
      </w:r>
      <w:r>
        <w:t>B</w:t>
      </w:r>
      <w:r>
        <w:t>is am 1. Januar 2019 verwendet das Gemeindegesetz den Begriff «Voranschlag».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98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33E3" w14:textId="77777777" w:rsidR="003D3B50" w:rsidRDefault="003D3B50" w:rsidP="00E56604">
      <w:r>
        <w:separator/>
      </w:r>
    </w:p>
  </w:endnote>
  <w:endnote w:type="continuationSeparator" w:id="0">
    <w:p w14:paraId="57ED0024" w14:textId="77777777" w:rsidR="003D3B50" w:rsidRDefault="003D3B50" w:rsidP="00E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9B84" w14:textId="77777777" w:rsidR="003371AC" w:rsidRDefault="003371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CFDE" w14:textId="77777777" w:rsidR="003D3B50" w:rsidRPr="009B0D96" w:rsidRDefault="003D3B50" w:rsidP="004E5B8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  <w:rPr>
        <w:sz w:val="16"/>
        <w:szCs w:val="16"/>
      </w:rPr>
    </w:pPr>
    <w:r w:rsidRPr="009B0D96">
      <w:rPr>
        <w:sz w:val="16"/>
        <w:szCs w:val="16"/>
      </w:rPr>
      <w:t xml:space="preserve">Seite </w:t>
    </w:r>
    <w:r w:rsidR="00893D5D" w:rsidRPr="009B0D96">
      <w:rPr>
        <w:rStyle w:val="Seitenzahl"/>
        <w:sz w:val="16"/>
        <w:szCs w:val="16"/>
      </w:rPr>
      <w:fldChar w:fldCharType="begin"/>
    </w:r>
    <w:r w:rsidRPr="009B0D96">
      <w:rPr>
        <w:rStyle w:val="Seitenzahl"/>
        <w:sz w:val="16"/>
        <w:szCs w:val="16"/>
      </w:rPr>
      <w:instrText xml:space="preserve"> PAGE </w:instrText>
    </w:r>
    <w:r w:rsidR="00893D5D" w:rsidRPr="009B0D96">
      <w:rPr>
        <w:rStyle w:val="Seitenzahl"/>
        <w:sz w:val="16"/>
        <w:szCs w:val="16"/>
      </w:rPr>
      <w:fldChar w:fldCharType="separate"/>
    </w:r>
    <w:r w:rsidR="003371AC">
      <w:rPr>
        <w:rStyle w:val="Seitenzahl"/>
        <w:sz w:val="16"/>
        <w:szCs w:val="16"/>
      </w:rPr>
      <w:t>4</w:t>
    </w:r>
    <w:r w:rsidR="00893D5D" w:rsidRPr="009B0D96">
      <w:rPr>
        <w:rStyle w:val="Seitenzahl"/>
        <w:sz w:val="16"/>
        <w:szCs w:val="16"/>
      </w:rPr>
      <w:fldChar w:fldCharType="end"/>
    </w:r>
    <w:r w:rsidRPr="009B0D96">
      <w:rPr>
        <w:rStyle w:val="Seitenzahl"/>
        <w:sz w:val="16"/>
        <w:szCs w:val="16"/>
      </w:rPr>
      <w:t xml:space="preserve"> von </w:t>
    </w:r>
    <w:r w:rsidR="00893D5D" w:rsidRPr="009B0D96">
      <w:rPr>
        <w:rStyle w:val="Seitenzahl"/>
        <w:sz w:val="16"/>
        <w:szCs w:val="16"/>
      </w:rPr>
      <w:fldChar w:fldCharType="begin"/>
    </w:r>
    <w:r w:rsidRPr="009B0D96">
      <w:rPr>
        <w:rStyle w:val="Seitenzahl"/>
        <w:sz w:val="16"/>
        <w:szCs w:val="16"/>
      </w:rPr>
      <w:instrText xml:space="preserve"> NUMPAGES </w:instrText>
    </w:r>
    <w:r w:rsidR="00893D5D" w:rsidRPr="009B0D96">
      <w:rPr>
        <w:rStyle w:val="Seitenzahl"/>
        <w:sz w:val="16"/>
        <w:szCs w:val="16"/>
      </w:rPr>
      <w:fldChar w:fldCharType="separate"/>
    </w:r>
    <w:r w:rsidR="003371AC">
      <w:rPr>
        <w:rStyle w:val="Seitenzahl"/>
        <w:sz w:val="16"/>
        <w:szCs w:val="16"/>
      </w:rPr>
      <w:t>4</w:t>
    </w:r>
    <w:r w:rsidR="00893D5D" w:rsidRPr="009B0D96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A31D" w14:textId="77777777" w:rsidR="003D3B50" w:rsidRPr="00DD36AE" w:rsidRDefault="003D3B50" w:rsidP="00255428">
    <w:pPr>
      <w:pStyle w:val="Fuzeile"/>
      <w:tabs>
        <w:tab w:val="clear" w:pos="5216"/>
        <w:tab w:val="clear" w:pos="9299"/>
      </w:tabs>
      <w:jc w:val="right"/>
      <w:rPr>
        <w:sz w:val="16"/>
        <w:szCs w:val="16"/>
      </w:rPr>
    </w:pPr>
    <w:r w:rsidRPr="00DD36AE">
      <w:rPr>
        <w:sz w:val="16"/>
        <w:szCs w:val="16"/>
      </w:rPr>
      <w:t xml:space="preserve">Seite </w:t>
    </w:r>
    <w:r w:rsidR="00893D5D" w:rsidRPr="00DD36AE">
      <w:rPr>
        <w:rStyle w:val="Seitenzahl"/>
        <w:sz w:val="16"/>
        <w:szCs w:val="16"/>
      </w:rPr>
      <w:fldChar w:fldCharType="begin"/>
    </w:r>
    <w:r w:rsidRPr="00DD36AE">
      <w:rPr>
        <w:rStyle w:val="Seitenzahl"/>
        <w:sz w:val="16"/>
        <w:szCs w:val="16"/>
      </w:rPr>
      <w:instrText xml:space="preserve"> PAGE </w:instrText>
    </w:r>
    <w:r w:rsidR="00893D5D" w:rsidRPr="00DD36AE">
      <w:rPr>
        <w:rStyle w:val="Seitenzahl"/>
        <w:sz w:val="16"/>
        <w:szCs w:val="16"/>
      </w:rPr>
      <w:fldChar w:fldCharType="separate"/>
    </w:r>
    <w:r w:rsidR="003371AC">
      <w:rPr>
        <w:rStyle w:val="Seitenzahl"/>
        <w:sz w:val="16"/>
        <w:szCs w:val="16"/>
      </w:rPr>
      <w:t>1</w:t>
    </w:r>
    <w:r w:rsidR="00893D5D" w:rsidRPr="00DD36AE">
      <w:rPr>
        <w:rStyle w:val="Seitenzahl"/>
        <w:sz w:val="16"/>
        <w:szCs w:val="16"/>
      </w:rPr>
      <w:fldChar w:fldCharType="end"/>
    </w:r>
    <w:r w:rsidRPr="00DD36AE">
      <w:rPr>
        <w:rStyle w:val="Seitenzahl"/>
        <w:sz w:val="16"/>
        <w:szCs w:val="16"/>
      </w:rPr>
      <w:t xml:space="preserve"> von </w:t>
    </w:r>
    <w:r w:rsidR="00893D5D" w:rsidRPr="00DD36AE">
      <w:rPr>
        <w:rStyle w:val="Seitenzahl"/>
        <w:sz w:val="16"/>
        <w:szCs w:val="16"/>
      </w:rPr>
      <w:fldChar w:fldCharType="begin"/>
    </w:r>
    <w:r w:rsidRPr="00DD36AE">
      <w:rPr>
        <w:rStyle w:val="Seitenzahl"/>
        <w:sz w:val="16"/>
        <w:szCs w:val="16"/>
      </w:rPr>
      <w:instrText xml:space="preserve"> NUMPAGES </w:instrText>
    </w:r>
    <w:r w:rsidR="00893D5D" w:rsidRPr="00DD36AE">
      <w:rPr>
        <w:rStyle w:val="Seitenzahl"/>
        <w:sz w:val="16"/>
        <w:szCs w:val="16"/>
      </w:rPr>
      <w:fldChar w:fldCharType="separate"/>
    </w:r>
    <w:r w:rsidR="003371AC">
      <w:rPr>
        <w:rStyle w:val="Seitenzahl"/>
        <w:sz w:val="16"/>
        <w:szCs w:val="16"/>
      </w:rPr>
      <w:t>4</w:t>
    </w:r>
    <w:r w:rsidR="00893D5D" w:rsidRPr="00DD36A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DA8B" w14:textId="77777777" w:rsidR="003D3B50" w:rsidRDefault="003D3B50" w:rsidP="00E56604">
      <w:r>
        <w:separator/>
      </w:r>
    </w:p>
  </w:footnote>
  <w:footnote w:type="continuationSeparator" w:id="0">
    <w:p w14:paraId="73379EF2" w14:textId="77777777" w:rsidR="003D3B50" w:rsidRDefault="003D3B50" w:rsidP="00E56604">
      <w:r>
        <w:continuationSeparator/>
      </w:r>
    </w:p>
  </w:footnote>
  <w:footnote w:id="1">
    <w:p w14:paraId="66E35569" w14:textId="77777777" w:rsidR="003D3B50" w:rsidRDefault="003D3B50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>
        <w:rPr>
          <w:rStyle w:val="Funotenzeichen"/>
        </w:rPr>
        <w:footnoteRef/>
      </w:r>
      <w:r w:rsidR="004E5B88">
        <w:tab/>
      </w:r>
      <w:r>
        <w:t>Antragstellung in Form eines Gutachtens</w:t>
      </w:r>
    </w:p>
  </w:footnote>
  <w:footnote w:id="2">
    <w:p w14:paraId="3A5096AE" w14:textId="77777777" w:rsidR="00F70038" w:rsidRPr="00B83707" w:rsidRDefault="00F70038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  <w:footnote w:id="3">
    <w:p w14:paraId="40B15C84" w14:textId="77777777" w:rsidR="003D3B50" w:rsidRDefault="003D3B50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>
        <w:rPr>
          <w:rStyle w:val="Funotenzeichen"/>
        </w:rPr>
        <w:footnoteRef/>
      </w:r>
      <w:r w:rsidR="004E5B88">
        <w:tab/>
      </w:r>
      <w:r>
        <w:t>Antragstellung in Form eines Gutachtens</w:t>
      </w:r>
    </w:p>
  </w:footnote>
  <w:footnote w:id="4">
    <w:p w14:paraId="6F36FC7B" w14:textId="77777777" w:rsidR="00F70038" w:rsidRPr="00B83707" w:rsidRDefault="00F70038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  <w:footnote w:id="5">
    <w:p w14:paraId="2B80F44B" w14:textId="77777777" w:rsidR="00F70038" w:rsidRPr="00B83707" w:rsidRDefault="00F70038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BE67" w14:textId="77777777" w:rsidR="003371AC" w:rsidRDefault="003371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CF5C" w14:textId="77777777" w:rsidR="0077222E" w:rsidRDefault="0077222E" w:rsidP="0077222E">
    <w:pPr>
      <w:pStyle w:val="Kopfzeile"/>
      <w:tabs>
        <w:tab w:val="clear" w:pos="929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DC1B" w14:textId="77777777" w:rsidR="003D3B50" w:rsidRDefault="003D3B50" w:rsidP="0077222E">
    <w:pPr>
      <w:pStyle w:val="Kopfzeile"/>
      <w:tabs>
        <w:tab w:val="clear" w:pos="9299"/>
      </w:tabs>
      <w:jc w:val="center"/>
    </w:pPr>
    <w:r w:rsidRPr="00D32E81">
      <w:rPr>
        <w:b/>
      </w:rPr>
      <w:t>Anhang: Finanzbefugnisse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01E"/>
    <w:multiLevelType w:val="hybridMultilevel"/>
    <w:tmpl w:val="B016EF3E"/>
    <w:lvl w:ilvl="0" w:tplc="718A5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1FC"/>
    <w:multiLevelType w:val="hybridMultilevel"/>
    <w:tmpl w:val="062E86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912"/>
    <w:multiLevelType w:val="hybridMultilevel"/>
    <w:tmpl w:val="452045C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A4A"/>
    <w:multiLevelType w:val="hybridMultilevel"/>
    <w:tmpl w:val="0E925DB0"/>
    <w:lvl w:ilvl="0" w:tplc="5C00E8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9BF"/>
    <w:multiLevelType w:val="hybridMultilevel"/>
    <w:tmpl w:val="AD46CD30"/>
    <w:lvl w:ilvl="0" w:tplc="98C4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238"/>
    <w:multiLevelType w:val="hybridMultilevel"/>
    <w:tmpl w:val="344A74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604"/>
    <w:rsid w:val="00026D11"/>
    <w:rsid w:val="00043CCB"/>
    <w:rsid w:val="00046833"/>
    <w:rsid w:val="00054B02"/>
    <w:rsid w:val="0007140F"/>
    <w:rsid w:val="00072EFF"/>
    <w:rsid w:val="00077620"/>
    <w:rsid w:val="00097863"/>
    <w:rsid w:val="000A11E8"/>
    <w:rsid w:val="000D1EF6"/>
    <w:rsid w:val="000F541A"/>
    <w:rsid w:val="00122790"/>
    <w:rsid w:val="00132223"/>
    <w:rsid w:val="00137A28"/>
    <w:rsid w:val="001455EF"/>
    <w:rsid w:val="001911EE"/>
    <w:rsid w:val="0019223A"/>
    <w:rsid w:val="001C1484"/>
    <w:rsid w:val="001C1B72"/>
    <w:rsid w:val="001F0DC5"/>
    <w:rsid w:val="001F2A3E"/>
    <w:rsid w:val="001F4149"/>
    <w:rsid w:val="00212E9C"/>
    <w:rsid w:val="00255428"/>
    <w:rsid w:val="00282E90"/>
    <w:rsid w:val="00292978"/>
    <w:rsid w:val="002A1DA2"/>
    <w:rsid w:val="002D6523"/>
    <w:rsid w:val="002F0CA6"/>
    <w:rsid w:val="003371AC"/>
    <w:rsid w:val="003460B6"/>
    <w:rsid w:val="0035724B"/>
    <w:rsid w:val="00357862"/>
    <w:rsid w:val="00357DBF"/>
    <w:rsid w:val="003D3B50"/>
    <w:rsid w:val="003D4D8E"/>
    <w:rsid w:val="003F50D2"/>
    <w:rsid w:val="004019CF"/>
    <w:rsid w:val="00417486"/>
    <w:rsid w:val="00420C8A"/>
    <w:rsid w:val="00433602"/>
    <w:rsid w:val="00450702"/>
    <w:rsid w:val="00454B7E"/>
    <w:rsid w:val="00457D4E"/>
    <w:rsid w:val="0047426C"/>
    <w:rsid w:val="004865AF"/>
    <w:rsid w:val="004943ED"/>
    <w:rsid w:val="004A61D8"/>
    <w:rsid w:val="004B448F"/>
    <w:rsid w:val="004D13D2"/>
    <w:rsid w:val="004E5B88"/>
    <w:rsid w:val="004F179D"/>
    <w:rsid w:val="0050160A"/>
    <w:rsid w:val="00503BDF"/>
    <w:rsid w:val="005553F9"/>
    <w:rsid w:val="00593438"/>
    <w:rsid w:val="005A338D"/>
    <w:rsid w:val="005D3E90"/>
    <w:rsid w:val="005D5F93"/>
    <w:rsid w:val="005F04BD"/>
    <w:rsid w:val="00611D8E"/>
    <w:rsid w:val="00640DE6"/>
    <w:rsid w:val="00654966"/>
    <w:rsid w:val="00664DEA"/>
    <w:rsid w:val="006739CC"/>
    <w:rsid w:val="00674171"/>
    <w:rsid w:val="006907CC"/>
    <w:rsid w:val="00694AC1"/>
    <w:rsid w:val="006A4A92"/>
    <w:rsid w:val="006D79DB"/>
    <w:rsid w:val="006E44E9"/>
    <w:rsid w:val="006F1B4E"/>
    <w:rsid w:val="00711A94"/>
    <w:rsid w:val="00712531"/>
    <w:rsid w:val="00730DD9"/>
    <w:rsid w:val="00735D43"/>
    <w:rsid w:val="00764963"/>
    <w:rsid w:val="00767D6C"/>
    <w:rsid w:val="0077222E"/>
    <w:rsid w:val="00792013"/>
    <w:rsid w:val="007A3F54"/>
    <w:rsid w:val="007C6B41"/>
    <w:rsid w:val="007E3238"/>
    <w:rsid w:val="007E67A7"/>
    <w:rsid w:val="007E7D18"/>
    <w:rsid w:val="00803E8F"/>
    <w:rsid w:val="00827046"/>
    <w:rsid w:val="00843714"/>
    <w:rsid w:val="00893D5D"/>
    <w:rsid w:val="008B5D58"/>
    <w:rsid w:val="008C7D08"/>
    <w:rsid w:val="008F6DC9"/>
    <w:rsid w:val="009073F8"/>
    <w:rsid w:val="0092339F"/>
    <w:rsid w:val="00925955"/>
    <w:rsid w:val="00967418"/>
    <w:rsid w:val="009A7777"/>
    <w:rsid w:val="009B0D96"/>
    <w:rsid w:val="009C49C6"/>
    <w:rsid w:val="009D6505"/>
    <w:rsid w:val="009E00A7"/>
    <w:rsid w:val="009E0DC6"/>
    <w:rsid w:val="009E11A4"/>
    <w:rsid w:val="009E55EA"/>
    <w:rsid w:val="00A05E79"/>
    <w:rsid w:val="00A216B6"/>
    <w:rsid w:val="00A446BF"/>
    <w:rsid w:val="00A50001"/>
    <w:rsid w:val="00A76168"/>
    <w:rsid w:val="00A95C8D"/>
    <w:rsid w:val="00AB6EB1"/>
    <w:rsid w:val="00AD1C61"/>
    <w:rsid w:val="00AD4654"/>
    <w:rsid w:val="00B12011"/>
    <w:rsid w:val="00B24E18"/>
    <w:rsid w:val="00B44631"/>
    <w:rsid w:val="00B45A90"/>
    <w:rsid w:val="00B55A13"/>
    <w:rsid w:val="00B76457"/>
    <w:rsid w:val="00B83707"/>
    <w:rsid w:val="00B8456D"/>
    <w:rsid w:val="00B93F92"/>
    <w:rsid w:val="00B97A45"/>
    <w:rsid w:val="00BC1CD7"/>
    <w:rsid w:val="00C06607"/>
    <w:rsid w:val="00CB1194"/>
    <w:rsid w:val="00CB60E0"/>
    <w:rsid w:val="00CD61D0"/>
    <w:rsid w:val="00CE5711"/>
    <w:rsid w:val="00D32E81"/>
    <w:rsid w:val="00D36F17"/>
    <w:rsid w:val="00D7089E"/>
    <w:rsid w:val="00D76BCC"/>
    <w:rsid w:val="00D76CBE"/>
    <w:rsid w:val="00D90506"/>
    <w:rsid w:val="00DA7D88"/>
    <w:rsid w:val="00DB3CB7"/>
    <w:rsid w:val="00DB71ED"/>
    <w:rsid w:val="00DB7FD1"/>
    <w:rsid w:val="00DC0851"/>
    <w:rsid w:val="00DD0EAF"/>
    <w:rsid w:val="00DD388A"/>
    <w:rsid w:val="00DD3C05"/>
    <w:rsid w:val="00E13E22"/>
    <w:rsid w:val="00E13E8D"/>
    <w:rsid w:val="00E37005"/>
    <w:rsid w:val="00E42002"/>
    <w:rsid w:val="00E46A29"/>
    <w:rsid w:val="00E56604"/>
    <w:rsid w:val="00E82012"/>
    <w:rsid w:val="00EA4F0F"/>
    <w:rsid w:val="00EA599D"/>
    <w:rsid w:val="00EC20E5"/>
    <w:rsid w:val="00EC6886"/>
    <w:rsid w:val="00ED09B8"/>
    <w:rsid w:val="00F12E20"/>
    <w:rsid w:val="00F432D0"/>
    <w:rsid w:val="00F601F0"/>
    <w:rsid w:val="00F70038"/>
    <w:rsid w:val="00F83BC9"/>
    <w:rsid w:val="00F9461F"/>
    <w:rsid w:val="00F976AE"/>
    <w:rsid w:val="00FC2901"/>
    <w:rsid w:val="00FC4568"/>
    <w:rsid w:val="00FC5B6E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729FD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6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E56604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56604"/>
    <w:pPr>
      <w:keepNext/>
      <w:spacing w:before="60"/>
      <w:outlineLvl w:val="3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56604"/>
    <w:pPr>
      <w:keepNext/>
      <w:spacing w:before="120"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56604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E56604"/>
    <w:rPr>
      <w:rFonts w:ascii="Arial" w:eastAsia="Times New Roman" w:hAnsi="Arial" w:cs="Times New Roman"/>
      <w:b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E56604"/>
    <w:rPr>
      <w:rFonts w:ascii="Arial" w:eastAsia="Times New Roman" w:hAnsi="Arial" w:cs="Times New Roman"/>
      <w:b/>
      <w:szCs w:val="20"/>
      <w:lang w:eastAsia="de-CH"/>
    </w:rPr>
  </w:style>
  <w:style w:type="paragraph" w:styleId="Funotentext">
    <w:name w:val="footnote text"/>
    <w:basedOn w:val="Standard"/>
    <w:link w:val="FunotentextZchn"/>
    <w:semiHidden/>
    <w:rsid w:val="00E56604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E56604"/>
    <w:rPr>
      <w:rFonts w:ascii="Arial" w:eastAsia="Times New Roman" w:hAnsi="Arial" w:cs="Times New Roman"/>
      <w:sz w:val="18"/>
      <w:szCs w:val="20"/>
      <w:lang w:eastAsia="de-CH"/>
    </w:rPr>
  </w:style>
  <w:style w:type="character" w:styleId="Funotenzeichen">
    <w:name w:val="footnote reference"/>
    <w:basedOn w:val="Absatz-Standardschriftart"/>
    <w:semiHidden/>
    <w:rsid w:val="00E56604"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rsid w:val="00E56604"/>
    <w:pPr>
      <w:tabs>
        <w:tab w:val="clear" w:pos="7938"/>
      </w:tabs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E56604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customStyle="1" w:styleId="GRKopf">
    <w:name w:val="GR_Kopf"/>
    <w:basedOn w:val="Standard"/>
    <w:rsid w:val="00E566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uiPriority w:val="99"/>
    <w:rsid w:val="00E566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604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-Standardschriftart"/>
    <w:rsid w:val="00E56604"/>
  </w:style>
  <w:style w:type="character" w:styleId="Kommentarzeichen">
    <w:name w:val="annotation reference"/>
    <w:basedOn w:val="Absatz-Standardschriftart"/>
    <w:semiHidden/>
    <w:rsid w:val="00E56604"/>
    <w:rPr>
      <w:sz w:val="16"/>
    </w:rPr>
  </w:style>
  <w:style w:type="paragraph" w:styleId="Kommentartext">
    <w:name w:val="annotation text"/>
    <w:basedOn w:val="Standard"/>
    <w:link w:val="KommentartextZchn"/>
    <w:semiHidden/>
    <w:rsid w:val="00E566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6604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04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CE571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A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A94"/>
    <w:rPr>
      <w:rFonts w:ascii="Arial" w:eastAsia="Times New Roman" w:hAnsi="Arial" w:cs="Times New Roman"/>
      <w:b/>
      <w:bCs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097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D76CBE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FBA4-92F0-4696-8C64-0F81DC59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2017-11-08T13:01:00Z</dcterms:created>
  <dcterms:modified xsi:type="dcterms:W3CDTF">2017-11-08T13:01:00Z</dcterms:modified>
</cp:coreProperties>
</file>