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F60C4" w14:textId="77777777" w:rsidR="00732D97" w:rsidRPr="00732D97" w:rsidRDefault="00732D97" w:rsidP="00711931">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bookmarkStart w:id="0" w:name="_GoBack"/>
      <w:bookmarkEnd w:id="0"/>
      <w:r w:rsidRPr="00732D97">
        <w:rPr>
          <w:rFonts w:eastAsia="Times New Roman" w:cs="Arial"/>
          <w:b/>
          <w:bCs/>
          <w:sz w:val="28"/>
          <w:lang w:eastAsia="de-DE"/>
        </w:rPr>
        <w:t>STATUTEN</w:t>
      </w:r>
    </w:p>
    <w:p w14:paraId="629FE03F"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14:paraId="2A6AAEB3"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59BCCC63" w14:textId="77777777" w:rsidR="00732D97" w:rsidRPr="00BE68CD" w:rsidRDefault="00BE68CD" w:rsidP="00711931">
      <w:pPr>
        <w:tabs>
          <w:tab w:val="clear" w:pos="425"/>
          <w:tab w:val="clear" w:pos="851"/>
          <w:tab w:val="clear" w:pos="1276"/>
          <w:tab w:val="clear" w:pos="5245"/>
          <w:tab w:val="clear" w:pos="9639"/>
        </w:tabs>
        <w:spacing w:line="240" w:lineRule="auto"/>
        <w:ind w:right="-2"/>
        <w:jc w:val="center"/>
        <w:rPr>
          <w:rFonts w:eastAsia="Times New Roman" w:cs="Arial"/>
          <w:color w:val="000000"/>
          <w:sz w:val="28"/>
          <w:szCs w:val="28"/>
          <w:lang w:eastAsia="de-DE"/>
        </w:rPr>
      </w:pPr>
      <w:r w:rsidRPr="00AD6BDF">
        <w:rPr>
          <w:sz w:val="28"/>
          <w:szCs w:val="28"/>
          <w:highlight w:val="lightGray"/>
          <w:lang w:eastAsia="de-CH"/>
        </w:rPr>
        <w:t>[…]</w:t>
      </w:r>
      <w:r w:rsidR="00732D97" w:rsidRPr="00BE68CD">
        <w:rPr>
          <w:rFonts w:eastAsia="Times New Roman" w:cs="Arial"/>
          <w:color w:val="000000"/>
          <w:sz w:val="28"/>
          <w:szCs w:val="28"/>
          <w:lang w:eastAsia="de-DE"/>
        </w:rPr>
        <w:t xml:space="preserve"> GmbH</w:t>
      </w:r>
    </w:p>
    <w:p w14:paraId="3AF9D71E"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1DBE7BFB"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00BE68CD" w:rsidRPr="00AD6BDF">
        <w:rPr>
          <w:highlight w:val="lightGray"/>
          <w:lang w:eastAsia="de-CH"/>
        </w:rPr>
        <w:t>[…]</w:t>
      </w:r>
    </w:p>
    <w:p w14:paraId="2FA71D1C"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1 – Firma und Sitz</w:t>
      </w:r>
    </w:p>
    <w:p w14:paraId="3914753E" w14:textId="4456803B" w:rsidR="00732D97" w:rsidRPr="00732D97" w:rsidRDefault="00732D97"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732D97">
        <w:rPr>
          <w:rFonts w:eastAsia="Times New Roman" w:cs="Arial"/>
          <w:color w:val="000000"/>
          <w:lang w:eastAsia="de-DE"/>
        </w:rPr>
        <w:t>Unter der Firma</w:t>
      </w:r>
    </w:p>
    <w:p w14:paraId="60E29C98" w14:textId="41652A04" w:rsidR="00732D97" w:rsidRPr="00732D97" w:rsidRDefault="00BE68CD"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AD6BDF">
        <w:rPr>
          <w:highlight w:val="lightGray"/>
          <w:lang w:eastAsia="de-CH"/>
        </w:rPr>
        <w:t>[…]</w:t>
      </w:r>
      <w:r w:rsidR="00732D97" w:rsidRPr="00732D97">
        <w:rPr>
          <w:rFonts w:eastAsia="Times New Roman" w:cs="Arial"/>
          <w:color w:val="000000"/>
          <w:lang w:eastAsia="de-DE"/>
        </w:rPr>
        <w:t xml:space="preserve"> GmbH</w:t>
      </w:r>
    </w:p>
    <w:p w14:paraId="709E6196"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besteht mit Sitz in </w:t>
      </w:r>
      <w:r w:rsidRPr="00BE68CD">
        <w:rPr>
          <w:rFonts w:eastAsia="Times New Roman" w:cs="Arial"/>
          <w:color w:val="000000"/>
          <w:highlight w:val="lightGray"/>
          <w:lang w:eastAsia="de-DE"/>
        </w:rPr>
        <w:t>[politische Gemeinde]</w:t>
      </w:r>
      <w:r w:rsidR="008A338F">
        <w:rPr>
          <w:rFonts w:eastAsia="Times New Roman" w:cs="Arial"/>
          <w:color w:val="000000"/>
          <w:lang w:eastAsia="de-DE"/>
        </w:rPr>
        <w:t>, Kanton St.</w:t>
      </w:r>
      <w:r w:rsidR="008A338F" w:rsidRPr="008A338F">
        <w:rPr>
          <w:rFonts w:eastAsia="Times New Roman" w:cs="Arial"/>
          <w:color w:val="000000"/>
          <w:w w:val="50"/>
          <w:lang w:eastAsia="de-DE"/>
        </w:rPr>
        <w:t> </w:t>
      </w:r>
      <w:r w:rsidR="008A338F">
        <w:rPr>
          <w:rFonts w:eastAsia="Times New Roman" w:cs="Arial"/>
          <w:color w:val="000000"/>
          <w:lang w:eastAsia="de-DE"/>
        </w:rPr>
        <w:t>Gallen</w:t>
      </w:r>
      <w:r w:rsidR="00031FFB">
        <w:rPr>
          <w:rFonts w:eastAsia="Times New Roman" w:cs="Arial"/>
          <w:color w:val="000000"/>
          <w:lang w:eastAsia="de-DE"/>
        </w:rPr>
        <w:t>,</w:t>
      </w:r>
      <w:r w:rsidRPr="00732D97">
        <w:rPr>
          <w:rFonts w:eastAsia="Times New Roman" w:cs="Arial"/>
          <w:color w:val="000000"/>
          <w:lang w:eastAsia="de-DE"/>
        </w:rPr>
        <w:t xml:space="preserve"> auf unbestimmte Dauer eine Gesellschaft mit b</w:t>
      </w:r>
      <w:r w:rsidR="0082573D">
        <w:rPr>
          <w:rFonts w:eastAsia="Times New Roman" w:cs="Arial"/>
          <w:color w:val="000000"/>
          <w:lang w:eastAsia="de-DE"/>
        </w:rPr>
        <w:t>eschränkter Haftung gemäss Art. </w:t>
      </w:r>
      <w:r w:rsidRPr="00732D97">
        <w:rPr>
          <w:rFonts w:eastAsia="Times New Roman" w:cs="Arial"/>
          <w:color w:val="000000"/>
          <w:lang w:eastAsia="de-DE"/>
        </w:rPr>
        <w:t>772</w:t>
      </w:r>
      <w:r w:rsidR="0082573D">
        <w:rPr>
          <w:rFonts w:eastAsia="Times New Roman" w:cs="Arial"/>
          <w:color w:val="000000"/>
          <w:lang w:eastAsia="de-DE"/>
        </w:rPr>
        <w:t> </w:t>
      </w:r>
      <w:r w:rsidRPr="00732D97">
        <w:rPr>
          <w:rFonts w:eastAsia="Times New Roman" w:cs="Arial"/>
          <w:color w:val="000000"/>
          <w:lang w:eastAsia="de-DE"/>
        </w:rPr>
        <w:t>ff.</w:t>
      </w:r>
      <w:r w:rsidR="0082573D">
        <w:rPr>
          <w:rFonts w:eastAsia="Times New Roman" w:cs="Arial"/>
          <w:color w:val="000000"/>
          <w:lang w:eastAsia="de-DE"/>
        </w:rPr>
        <w:t> </w:t>
      </w:r>
      <w:r w:rsidRPr="00732D97">
        <w:rPr>
          <w:rFonts w:eastAsia="Times New Roman" w:cs="Arial"/>
          <w:color w:val="000000"/>
          <w:lang w:eastAsia="de-DE"/>
        </w:rPr>
        <w:t>OR.</w:t>
      </w:r>
    </w:p>
    <w:p w14:paraId="0712A6B1"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2 – Zweck</w:t>
      </w:r>
    </w:p>
    <w:p w14:paraId="719176B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Die Gesellschaft bezweckt </w:t>
      </w:r>
      <w:r w:rsidR="00BE68CD" w:rsidRPr="00AD6BDF">
        <w:rPr>
          <w:highlight w:val="lightGray"/>
          <w:lang w:eastAsia="de-CH"/>
        </w:rPr>
        <w:t>[…]</w:t>
      </w:r>
      <w:r w:rsidRPr="00732D97">
        <w:rPr>
          <w:rFonts w:eastAsia="Times New Roman" w:cs="Arial"/>
          <w:color w:val="000000"/>
          <w:lang w:eastAsia="de-DE"/>
        </w:rPr>
        <w:t>.</w:t>
      </w:r>
    </w:p>
    <w:p w14:paraId="74834C73"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6C18C432"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 kann Zweigniederlassungen und Tochtergesellschaften im In- und Ausland errichten und sich an anderen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0D2BAC13"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3 – Stammkapital und Stammanteile</w:t>
      </w:r>
    </w:p>
    <w:p w14:paraId="5F751CC2" w14:textId="77777777" w:rsidR="00341A6A"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Stammkapital beträgt CHF </w:t>
      </w:r>
      <w:r w:rsidR="00BE68CD" w:rsidRPr="00AD6BDF">
        <w:rPr>
          <w:highlight w:val="lightGray"/>
          <w:lang w:eastAsia="de-CH"/>
        </w:rPr>
        <w:t>[…]</w:t>
      </w:r>
      <w:r w:rsidRPr="00732D97">
        <w:rPr>
          <w:rFonts w:eastAsia="Times New Roman" w:cs="Arial"/>
          <w:color w:val="000000"/>
          <w:lang w:eastAsia="de-DE"/>
        </w:rPr>
        <w:t xml:space="preserve"> und ist eingeteilt in </w:t>
      </w:r>
      <w:r w:rsidR="00BE68CD" w:rsidRPr="00AD6BDF">
        <w:rPr>
          <w:highlight w:val="lightGray"/>
          <w:lang w:eastAsia="de-CH"/>
        </w:rPr>
        <w:t>[</w:t>
      </w:r>
      <w:r w:rsidR="00E37ABF">
        <w:rPr>
          <w:highlight w:val="lightGray"/>
          <w:lang w:eastAsia="de-CH"/>
        </w:rPr>
        <w:t>Anzahl</w:t>
      </w:r>
      <w:r w:rsidR="00BE68CD" w:rsidRPr="00AD6BDF">
        <w:rPr>
          <w:highlight w:val="lightGray"/>
          <w:lang w:eastAsia="de-CH"/>
        </w:rPr>
        <w:t>]</w:t>
      </w:r>
      <w:r w:rsidRPr="00732D97">
        <w:rPr>
          <w:rFonts w:eastAsia="Times New Roman" w:cs="Arial"/>
          <w:color w:val="000000"/>
          <w:lang w:eastAsia="de-DE"/>
        </w:rPr>
        <w:t xml:space="preserve"> Stammanteile zu CHF </w:t>
      </w:r>
      <w:r w:rsidR="00BE68CD" w:rsidRPr="00AD6BDF">
        <w:rPr>
          <w:highlight w:val="lightGray"/>
          <w:lang w:eastAsia="de-CH"/>
        </w:rPr>
        <w:t>[…]</w:t>
      </w:r>
      <w:r w:rsidRPr="00732D97">
        <w:rPr>
          <w:rFonts w:eastAsia="Times New Roman" w:cs="Arial"/>
          <w:color w:val="000000"/>
          <w:lang w:eastAsia="de-DE"/>
        </w:rPr>
        <w:t xml:space="preserve">. </w:t>
      </w:r>
    </w:p>
    <w:p w14:paraId="2ADD1FBC" w14:textId="77777777"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4</w:t>
      </w:r>
      <w:r w:rsidRPr="00341A6A">
        <w:rPr>
          <w:rFonts w:eastAsia="Times New Roman" w:cs="Arial"/>
          <w:b/>
          <w:bCs/>
          <w:lang w:eastAsia="de-DE"/>
        </w:rPr>
        <w:t xml:space="preserve"> – Treuepflicht und Konkurrenzverbot</w:t>
      </w:r>
    </w:p>
    <w:p w14:paraId="0017404C"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sind zur Wahrung des Geschäftsgeheimnisses verpflichtet.</w:t>
      </w:r>
    </w:p>
    <w:p w14:paraId="170A64A6"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4C40143"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müssen alles unterlassen, was die Interessen der Gesellschaft beeinträchtigt. Insbesondere dürfen sie nicht Geschäfte betreiben, die ihnen zum besonderen Vorteil gereichen und durch die der Zweck der Gesellschaft beeinträchtigt würde.</w:t>
      </w:r>
    </w:p>
    <w:p w14:paraId="6E711703"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38CB42A"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dürfen keine die Gesellschaft konkurrenzierenden Tätigkeiten ausüben.</w:t>
      </w:r>
    </w:p>
    <w:p w14:paraId="47E86A14"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A3A4B4C"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Gesellschafter dürfen Tätigkeiten, die gegen die Treuepflicht oder das Konkurrenzverbot verstossen, ausüben, sofern alle übrigen Gesellschafter schriftlich zustimmen.</w:t>
      </w:r>
    </w:p>
    <w:p w14:paraId="696767C4" w14:textId="77777777"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5</w:t>
      </w:r>
      <w:r w:rsidRPr="00341A6A">
        <w:rPr>
          <w:rFonts w:eastAsia="Times New Roman" w:cs="Arial"/>
          <w:b/>
          <w:bCs/>
          <w:lang w:eastAsia="de-DE"/>
        </w:rPr>
        <w:t xml:space="preserve"> – Vorkaufsrecht; Verfahren</w:t>
      </w:r>
    </w:p>
    <w:p w14:paraId="3F04BD25"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Jedem Gesellschafter steht an den Stammanteilen der anderen Gesellschafter ein Vorkaufsrecht zu den folgenden Bedingungen zu.</w:t>
      </w:r>
    </w:p>
    <w:p w14:paraId="33D90058"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6EF09E2"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Verkauft ein Gesellschafter Stammanteile und wird dadurch ein Vorkaufsfall im Sinne des Gesetzes ausgelöst, so ist der Gesellschafter verpflichtet, diesen Tatbestand innerhalb von 30 Tagen seit dessen Eintritt den anderen Gesellschaftern und der Geschäftsführung durch eingeschriebenen Brief zu melden.</w:t>
      </w:r>
    </w:p>
    <w:p w14:paraId="3B5AFBBE"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C787D4B"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Vorkaufsberechtigten können innerhalb einer Frist von 60 Tagen seit Empfang der Mitteilung des Vorkauffalls ihr Vorkaufsrecht ausüben. Die Ausübung hat durch eingeschriebenen Brief an die Geschäftsführung zu erfolgen.</w:t>
      </w:r>
    </w:p>
    <w:p w14:paraId="256B74D9"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66E7111"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Ausübung des Vorkaufsrechts muss stets sämtliche Stammanteile umfassen, die Gegenstand des Vorkaufsfalls bilden. Üben mehrere Vorkaufsberechtigte ihr Vorkaufsrecht aus, so werden die Stammanteile entsprechend ihrer bisherigen Beteiligung an der Gesellschaft zugewiesen.</w:t>
      </w:r>
    </w:p>
    <w:p w14:paraId="75F4508B"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8C2ED9E"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Nach Ablauf der Frist zur Ausübung des Vorkaufsrechts muss die Geschäftsführung die Gesellschafter über dessen Ausübung innerhalb von 10 Tagen mit eingeschriebenem Brief in Kenntnis setzen. Wurde das Vorkaufsrecht geltend gemacht, so sind die Stammanteile innerhalb von 60 Tagen seit Ablauf der Frist zur Ausübung des Vorkaufsrechts auf den vorkaufsberechtigten Gesellschafter gegen Vergütung des gesamten Kaufpreises zu übertragen.</w:t>
      </w:r>
    </w:p>
    <w:p w14:paraId="29228976" w14:textId="77777777"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6</w:t>
      </w:r>
      <w:r w:rsidRPr="00341A6A">
        <w:rPr>
          <w:rFonts w:eastAsia="Times New Roman" w:cs="Arial"/>
          <w:b/>
          <w:bCs/>
          <w:lang w:eastAsia="de-DE"/>
        </w:rPr>
        <w:t xml:space="preserve"> – Vorkaufsrecht; Festsetzung des Preises</w:t>
      </w:r>
    </w:p>
    <w:p w14:paraId="2D003D26"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Das Vorkaufsrecht an den Stammanteilen ist zum wirklichen Wert im Zeitpunkt des Eintritts des Vorkaufsfalls auszuüben.</w:t>
      </w:r>
    </w:p>
    <w:p w14:paraId="7D36A701"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4B1C727"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Einigen sich die Beteiligten über den wirklichen Wert nicht innerhalb von 30 Tagen nach der Mitteilung der Geschäftsführung über die Ausübung des Vorkaufsrechts, so müssen sie der Geschäftsführung ihre Preisvorstellungen schriftlich mitteilen. Kommt es zu keiner Einigung, so wird der wirkliche Wert endgültig und für alle Beteiligten verbindlich durch einen zugelassenen Revisionsexperten als Schiedsgutachter festgestellt.</w:t>
      </w:r>
    </w:p>
    <w:p w14:paraId="2331EB53"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D1DA5EB"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Können sich die Beteiligten nicht auf einen zugelassenen Revisionsexperten als Schiedsgutachter einigen, so wird dieser durch den Präsidenten des Handelsgerichts am Sitz der Gesellschaft endgültig bestimmt.</w:t>
      </w:r>
    </w:p>
    <w:p w14:paraId="05730F40"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A1CCCCA"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Vor der definitiven Festsetzung des wirklichen Werts durch den Schiedsgutachter ist dessen Bewertungsvorschlag mit allen Beilagen den Beteiligten samt Bewertungsgrundlagen zu einer einmaligen Stellungnahme zu unterbreiten. Die Stellungnahme der Beteiligten muss schriftlich erfolgen.</w:t>
      </w:r>
    </w:p>
    <w:p w14:paraId="2DE92040"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6386F9EF"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 Kosten des Verfahrens werden von den Beteiligten im Verhältnis getragen, in dem das Ergebnis des Schiedsgutachtens von ihren schriftlich geäusserten Preisvorstellungen nach Absatz 2 hievor abweicht.</w:t>
      </w:r>
    </w:p>
    <w:p w14:paraId="4C2F38FD"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AAA22B8"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Übernimmt der Präsident des Handelsgerichts den Auftrag betreffend die Wahl des zugelassenen Revisionsexperten als Schiedsgutachter nicht, so wird der wirkliche Wert durch das ordentliche Gericht bzw. Schiedsgericht bestimmt.</w:t>
      </w:r>
    </w:p>
    <w:p w14:paraId="7C02BA64" w14:textId="77777777" w:rsidR="00732D97" w:rsidRPr="00732D97" w:rsidRDefault="00341A6A"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7</w:t>
      </w:r>
      <w:r w:rsidR="00732D97" w:rsidRPr="00732D97">
        <w:rPr>
          <w:rFonts w:eastAsia="Times New Roman" w:cs="Arial"/>
          <w:b/>
          <w:bCs/>
          <w:lang w:eastAsia="de-DE"/>
        </w:rPr>
        <w:t xml:space="preserve"> – Gesellschafterversammlung</w:t>
      </w:r>
    </w:p>
    <w:p w14:paraId="0FB58E75"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Oberstes Organ der Gesellschaft ist die Gesellschafterversammlung.</w:t>
      </w:r>
    </w:p>
    <w:p w14:paraId="4326E95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6D33381"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die Mitglieder der Geschäftsführung.</w:t>
      </w:r>
    </w:p>
    <w:p w14:paraId="2F6BC7D6" w14:textId="77777777" w:rsidR="00401642" w:rsidRDefault="00401642"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B1E5DBA" w14:textId="16E2AB86" w:rsidR="002A597A" w:rsidRDefault="00401642" w:rsidP="00711931">
      <w:pPr>
        <w:tabs>
          <w:tab w:val="clear" w:pos="425"/>
          <w:tab w:val="clear" w:pos="851"/>
          <w:tab w:val="clear" w:pos="1276"/>
          <w:tab w:val="clear" w:pos="5245"/>
          <w:tab w:val="clear" w:pos="9639"/>
        </w:tabs>
        <w:spacing w:line="240" w:lineRule="auto"/>
        <w:ind w:right="-2"/>
        <w:jc w:val="both"/>
      </w:pPr>
      <w:r w:rsidRPr="000D5E1A">
        <w:t>Die Gesellschafterversammlung ist spätestens 10 Tage vor dem Versammlungstag durch Brief oder E-Mail an die Gesellschafter</w:t>
      </w:r>
      <w:r w:rsidR="00B50D54" w:rsidRPr="000D5E1A">
        <w:t xml:space="preserve"> einzuberufen</w:t>
      </w:r>
      <w:r w:rsidRPr="000D5E1A">
        <w:t xml:space="preserve">. </w:t>
      </w:r>
    </w:p>
    <w:p w14:paraId="1FB8EE9C" w14:textId="1BB679CB" w:rsidR="002A597A" w:rsidRPr="00732D97" w:rsidRDefault="002A597A" w:rsidP="002A597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lastRenderedPageBreak/>
        <w:t>Artikel 8 – Beschlussfassung unter erleichterten Voraussetzungen</w:t>
      </w:r>
    </w:p>
    <w:p w14:paraId="54B82B76" w14:textId="6B8660B3"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Pr>
          <w:szCs w:val="16"/>
          <w:lang w:val="de-DE"/>
        </w:rPr>
        <w:t>Mit dem Einverständnis aller Gesellschafter kann eine Gesellschafterversammlung ohne Einhaltung der für die Einberufung vorgeschriebenen Formvorschriften abgehalten werden (Universalversammlung).</w:t>
      </w:r>
    </w:p>
    <w:p w14:paraId="1D389470" w14:textId="77777777" w:rsidR="002A597A" w:rsidRDefault="002A597A" w:rsidP="00711931">
      <w:pPr>
        <w:tabs>
          <w:tab w:val="clear" w:pos="425"/>
          <w:tab w:val="clear" w:pos="851"/>
          <w:tab w:val="clear" w:pos="1276"/>
          <w:tab w:val="clear" w:pos="5245"/>
          <w:tab w:val="clear" w:pos="9639"/>
        </w:tabs>
        <w:spacing w:line="240" w:lineRule="auto"/>
        <w:ind w:right="-2"/>
        <w:jc w:val="both"/>
      </w:pPr>
    </w:p>
    <w:p w14:paraId="13345AB7" w14:textId="65037502"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Pr>
          <w:szCs w:val="16"/>
          <w:lang w:val="de-DE"/>
        </w:rPr>
        <w:t>In dieser Versammlung kann über alle in den Geschäftskreis der Gesellschafterversammlung fallenden Gegenstände gültig verhandelt und Beschluss gefasst werden, solange alle Gesellschafter bzw. ihre Vertreter anwesend sind.</w:t>
      </w:r>
    </w:p>
    <w:p w14:paraId="50ACC3E3" w14:textId="77777777" w:rsidR="002A597A" w:rsidRDefault="002A597A" w:rsidP="00711931">
      <w:pPr>
        <w:tabs>
          <w:tab w:val="clear" w:pos="425"/>
          <w:tab w:val="clear" w:pos="851"/>
          <w:tab w:val="clear" w:pos="1276"/>
          <w:tab w:val="clear" w:pos="5245"/>
          <w:tab w:val="clear" w:pos="9639"/>
        </w:tabs>
        <w:spacing w:line="240" w:lineRule="auto"/>
        <w:ind w:right="-2"/>
        <w:jc w:val="both"/>
      </w:pPr>
    </w:p>
    <w:p w14:paraId="16A49754" w14:textId="61AD65E8"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sidRPr="001920D5">
        <w:rPr>
          <w:szCs w:val="16"/>
          <w:lang w:val="de-DE"/>
        </w:rPr>
        <w:t>Eine</w:t>
      </w:r>
      <w:r w:rsidRPr="003E2EA7">
        <w:rPr>
          <w:szCs w:val="16"/>
          <w:lang w:val="de-DE"/>
        </w:rPr>
        <w:t xml:space="preserve"> Gesellschafterversammlung kann ebenfalls ohne Einhaltung der</w:t>
      </w:r>
      <w:r>
        <w:rPr>
          <w:szCs w:val="16"/>
          <w:lang w:val="de-DE"/>
        </w:rPr>
        <w:t xml:space="preserve"> für die Einberufung geltenden </w:t>
      </w:r>
      <w:r w:rsidRPr="003E2EA7">
        <w:rPr>
          <w:szCs w:val="16"/>
          <w:lang w:val="de-DE"/>
        </w:rPr>
        <w:t>Vorschriften abgehalten werden, wenn die Beschlüsse auf schriftlichem Weg auf Papier oder in elektronischer Form erfolgen, sofern nicht ein Gesellschafter die mündliche Beratung verlangt</w:t>
      </w:r>
      <w:r w:rsidR="006874E8">
        <w:rPr>
          <w:szCs w:val="16"/>
          <w:lang w:val="de-DE"/>
        </w:rPr>
        <w:t>.</w:t>
      </w:r>
    </w:p>
    <w:p w14:paraId="103D659E" w14:textId="6D2A773C" w:rsidR="002A597A" w:rsidRPr="00732D97" w:rsidRDefault="002A597A" w:rsidP="002A597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9 – Tagungsort</w:t>
      </w:r>
    </w:p>
    <w:p w14:paraId="12E9365F" w14:textId="6EE7B821" w:rsidR="002A597A"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Die Geschäftsführung bestimmt den Tagungsort der Gesellschafterversammlung.</w:t>
      </w:r>
    </w:p>
    <w:p w14:paraId="4A8FB091"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p>
    <w:p w14:paraId="17D79ED9"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Durch die Festlegung des Tagungsortes darf für keinen Gesellschafter die Ausübung seiner Rechte im Zusammenhang mit der Gesellschafterversammlung in unsachlicher Weise erschwert werden.</w:t>
      </w:r>
    </w:p>
    <w:p w14:paraId="45F5B77C" w14:textId="7D44FD70" w:rsidR="002A597A"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 xml:space="preserve">Die Gesellschafterversammlung kann an verschiedenen Orten gleichzeitig durchgeführt werden. Die Voten der Teilnehmer müssen in diesem Fall unmittelbar in Bild </w:t>
      </w:r>
      <w:r w:rsidR="00F12137">
        <w:rPr>
          <w:szCs w:val="16"/>
          <w:lang w:val="de-DE"/>
        </w:rPr>
        <w:t>und</w:t>
      </w:r>
      <w:r w:rsidRPr="00D627E4">
        <w:rPr>
          <w:szCs w:val="16"/>
          <w:lang w:val="de-DE"/>
        </w:rPr>
        <w:t xml:space="preserve"> Ton an sämtliche Tagungsorte übertragen werden.</w:t>
      </w:r>
    </w:p>
    <w:p w14:paraId="30A2A01A"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p>
    <w:p w14:paraId="0CF849AE" w14:textId="7BCE8170"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Die Gesellschafterversammlung kann im Ausland durchgeführt werden.</w:t>
      </w:r>
    </w:p>
    <w:p w14:paraId="1B69C114" w14:textId="7CB4AFF9" w:rsidR="002A597A" w:rsidRPr="00732D97" w:rsidRDefault="002A597A" w:rsidP="002A597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Artikel 10 – Verwendung elektronischer Mittel</w:t>
      </w:r>
    </w:p>
    <w:p w14:paraId="6BF7F80C" w14:textId="6E39DDB3" w:rsidR="002A597A" w:rsidRDefault="002A597A" w:rsidP="00D627E4">
      <w:pPr>
        <w:tabs>
          <w:tab w:val="clear" w:pos="425"/>
          <w:tab w:val="clear" w:pos="851"/>
          <w:tab w:val="clear" w:pos="1276"/>
          <w:tab w:val="clear" w:pos="5245"/>
          <w:tab w:val="clear" w:pos="9639"/>
        </w:tabs>
        <w:spacing w:line="240" w:lineRule="auto"/>
        <w:ind w:right="-2"/>
        <w:jc w:val="both"/>
        <w:rPr>
          <w:szCs w:val="16"/>
          <w:lang w:val="de-DE"/>
        </w:rPr>
      </w:pPr>
      <w:r w:rsidRPr="00D627E4">
        <w:rPr>
          <w:szCs w:val="16"/>
          <w:lang w:val="de-DE"/>
        </w:rPr>
        <w:t>Die Geschäftsführung kann vorsehen, dass Gesellschafter, die nicht am Ort der Gesellschafterversammlung anwesend sind, ihre Rechte auf elektronischem Weg ausüben können.</w:t>
      </w:r>
    </w:p>
    <w:p w14:paraId="3CFB0E5E" w14:textId="77777777" w:rsidR="002A597A" w:rsidRPr="00D627E4" w:rsidRDefault="002A597A" w:rsidP="00D627E4">
      <w:pPr>
        <w:tabs>
          <w:tab w:val="clear" w:pos="425"/>
          <w:tab w:val="clear" w:pos="851"/>
          <w:tab w:val="clear" w:pos="1276"/>
          <w:tab w:val="clear" w:pos="5245"/>
          <w:tab w:val="clear" w:pos="9639"/>
        </w:tabs>
        <w:spacing w:line="240" w:lineRule="auto"/>
        <w:ind w:right="-2"/>
        <w:jc w:val="both"/>
        <w:rPr>
          <w:szCs w:val="16"/>
          <w:lang w:val="de-DE"/>
        </w:rPr>
      </w:pPr>
    </w:p>
    <w:p w14:paraId="26110BBB" w14:textId="6F9C992C" w:rsidR="0067384B" w:rsidRDefault="0067384B" w:rsidP="0067384B">
      <w:pPr>
        <w:tabs>
          <w:tab w:val="clear" w:pos="425"/>
          <w:tab w:val="left" w:pos="708"/>
        </w:tabs>
        <w:spacing w:line="240" w:lineRule="auto"/>
        <w:ind w:right="-2"/>
        <w:jc w:val="both"/>
        <w:rPr>
          <w:szCs w:val="16"/>
          <w:lang w:val="de-DE"/>
        </w:rPr>
      </w:pPr>
      <w:r>
        <w:rPr>
          <w:szCs w:val="16"/>
          <w:lang w:val="de-DE"/>
        </w:rPr>
        <w:t>Eine Gesellschafterversammlung kann mit elektronischen Mitteln ohne Tagungsort durchgeführt werden (virtuelle Gesellschafterversammlung).</w:t>
      </w:r>
      <w:r>
        <w:rPr>
          <w:lang w:val="de-DE"/>
        </w:rPr>
        <w:t xml:space="preserve"> </w:t>
      </w:r>
      <w:r w:rsidR="00D57478">
        <w:rPr>
          <w:lang w:val="de-DE"/>
        </w:rPr>
        <w:t>Die Geschäftsführung kann in diesem Fall auf</w:t>
      </w:r>
      <w:r w:rsidR="00D57478">
        <w:t xml:space="preserve"> </w:t>
      </w:r>
      <w:r>
        <w:t>die</w:t>
      </w:r>
      <w:r w:rsidR="00D57478">
        <w:t xml:space="preserve"> gesetzlich vorgesehene</w:t>
      </w:r>
      <w:r>
        <w:t xml:space="preserve"> Bezeichnung eines unabhän</w:t>
      </w:r>
      <w:r w:rsidR="00D57478">
        <w:t xml:space="preserve">gigen Stimmrechtsvertreters </w:t>
      </w:r>
      <w:r>
        <w:t>verzichte</w:t>
      </w:r>
      <w:r w:rsidR="00D57478">
        <w:t>n</w:t>
      </w:r>
      <w:r>
        <w:t>.</w:t>
      </w:r>
    </w:p>
    <w:p w14:paraId="02869C02" w14:textId="34F68941" w:rsidR="00732D97" w:rsidRPr="00732D97" w:rsidRDefault="00341A6A"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Pr>
          <w:rFonts w:eastAsia="Times New Roman" w:cs="Arial"/>
          <w:b/>
          <w:bCs/>
          <w:lang w:eastAsia="de-DE"/>
        </w:rPr>
        <w:t xml:space="preserve">Artikel </w:t>
      </w:r>
      <w:r w:rsidR="005432F5">
        <w:rPr>
          <w:rFonts w:eastAsia="Times New Roman" w:cs="Arial"/>
          <w:b/>
          <w:bCs/>
          <w:lang w:eastAsia="de-DE"/>
        </w:rPr>
        <w:t>11</w:t>
      </w:r>
      <w:r w:rsidR="00732D97" w:rsidRPr="00732D97">
        <w:rPr>
          <w:rFonts w:eastAsia="Times New Roman" w:cs="Arial"/>
          <w:b/>
          <w:bCs/>
          <w:lang w:eastAsia="de-DE"/>
        </w:rPr>
        <w:t xml:space="preserve"> – Geschäftsführung</w:t>
      </w:r>
      <w:r w:rsidR="002A597A">
        <w:rPr>
          <w:rFonts w:eastAsia="Times New Roman" w:cs="Arial"/>
          <w:b/>
          <w:bCs/>
          <w:lang w:eastAsia="de-DE"/>
        </w:rPr>
        <w:t xml:space="preserve"> und Vertretung</w:t>
      </w:r>
    </w:p>
    <w:p w14:paraId="011BAC35" w14:textId="492A3990"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Geschäftsführung besteht aus einem oder mehreren Mitgliedern</w:t>
      </w:r>
      <w:r w:rsidR="002A597A">
        <w:rPr>
          <w:rFonts w:eastAsia="Times New Roman" w:cs="Arial"/>
          <w:color w:val="000000"/>
          <w:lang w:eastAsia="de-DE"/>
        </w:rPr>
        <w:t xml:space="preserve"> (Geschäftsführern)</w:t>
      </w:r>
      <w:r w:rsidRPr="00732D97">
        <w:rPr>
          <w:rFonts w:eastAsia="Times New Roman" w:cs="Arial"/>
          <w:color w:val="000000"/>
          <w:lang w:eastAsia="de-DE"/>
        </w:rPr>
        <w:t>.</w:t>
      </w:r>
    </w:p>
    <w:p w14:paraId="1DAA189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17D3CB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Hat die Gesellschaft mehrere Geschäftsführer, so muss die Gesellschafterversammlung den Vorsitz regeln.</w:t>
      </w:r>
      <w:r w:rsidR="00341A6A">
        <w:rPr>
          <w:rFonts w:eastAsia="Times New Roman" w:cs="Arial"/>
          <w:color w:val="000000"/>
          <w:lang w:eastAsia="de-DE"/>
        </w:rPr>
        <w:t xml:space="preserve"> </w:t>
      </w:r>
      <w:r w:rsidR="00341A6A" w:rsidRPr="006E088D">
        <w:rPr>
          <w:rFonts w:asciiTheme="majorHAnsi" w:eastAsia="Times New Roman" w:hAnsiTheme="majorHAnsi" w:cstheme="majorHAnsi"/>
          <w:color w:val="000000"/>
          <w:lang w:eastAsia="de-DE"/>
        </w:rPr>
        <w:t>Im Übrigen organisieren sich die Geschäftsführer selbst.</w:t>
      </w:r>
    </w:p>
    <w:p w14:paraId="5C8E7767"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6087A0D7" w14:textId="797653C6" w:rsidR="00732D97" w:rsidRDefault="00732D97" w:rsidP="00711931">
      <w:pPr>
        <w:tabs>
          <w:tab w:val="clear" w:pos="425"/>
          <w:tab w:val="clear" w:pos="851"/>
          <w:tab w:val="clear" w:pos="1276"/>
          <w:tab w:val="clear" w:pos="5245"/>
          <w:tab w:val="clear" w:pos="9639"/>
        </w:tabs>
        <w:spacing w:line="240" w:lineRule="auto"/>
        <w:ind w:right="-2"/>
        <w:jc w:val="both"/>
        <w:rPr>
          <w:szCs w:val="16"/>
          <w:lang w:val="de-DE"/>
        </w:rPr>
      </w:pPr>
      <w:r w:rsidRPr="00732D97">
        <w:rPr>
          <w:rFonts w:eastAsia="Times New Roman" w:cs="Arial"/>
          <w:color w:val="000000"/>
          <w:lang w:eastAsia="de-DE"/>
        </w:rPr>
        <w:t>Die Gesellschafterversammlung bestimmt die Art der Zeichnungsberechtigung der Geschäftsführer.</w:t>
      </w:r>
      <w:r w:rsidR="002A597A" w:rsidRPr="002A597A">
        <w:rPr>
          <w:szCs w:val="16"/>
          <w:lang w:val="de-DE"/>
        </w:rPr>
        <w:t xml:space="preserve"> </w:t>
      </w:r>
      <w:r w:rsidR="002A597A">
        <w:rPr>
          <w:szCs w:val="16"/>
          <w:lang w:val="de-DE"/>
        </w:rPr>
        <w:t>Mindestens ein Geschäftsführer muss zur Vertretung befugt sein.</w:t>
      </w:r>
    </w:p>
    <w:p w14:paraId="4B78DA40" w14:textId="65E88CA8" w:rsidR="002A597A" w:rsidRDefault="002A597A" w:rsidP="00711931">
      <w:pPr>
        <w:tabs>
          <w:tab w:val="clear" w:pos="425"/>
          <w:tab w:val="clear" w:pos="851"/>
          <w:tab w:val="clear" w:pos="1276"/>
          <w:tab w:val="clear" w:pos="5245"/>
          <w:tab w:val="clear" w:pos="9639"/>
        </w:tabs>
        <w:spacing w:line="240" w:lineRule="auto"/>
        <w:ind w:right="-2"/>
        <w:jc w:val="both"/>
        <w:rPr>
          <w:szCs w:val="16"/>
          <w:lang w:val="de-DE"/>
        </w:rPr>
      </w:pPr>
    </w:p>
    <w:p w14:paraId="256903D7" w14:textId="6E358A5F" w:rsidR="002A597A" w:rsidRDefault="002A597A"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Pr>
          <w:szCs w:val="16"/>
          <w:lang w:val="de-DE"/>
        </w:rPr>
        <w:t>Die Gesellschaft muss durch eine Person vertreten werden können, die Wohnsitz in der Schweiz hat.</w:t>
      </w:r>
    </w:p>
    <w:p w14:paraId="4E324859" w14:textId="77777777" w:rsidR="008A338F"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7A0E5BEA" w14:textId="77777777" w:rsidR="008A338F" w:rsidRPr="00732D97"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Pr>
          <w:rFonts w:eastAsia="Times New Roman" w:cs="Arial"/>
          <w:color w:val="000000"/>
          <w:lang w:eastAsia="de-DE"/>
        </w:rPr>
        <w:t>Die Geschäftsführung ernennt die Direktoren, die Prokuristen sowie die Handlungsbevollmächtigten.</w:t>
      </w:r>
    </w:p>
    <w:p w14:paraId="13E91B31" w14:textId="69255AAD"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lastRenderedPageBreak/>
        <w:t xml:space="preserve">Artikel </w:t>
      </w:r>
      <w:r w:rsidR="005432F5">
        <w:rPr>
          <w:rFonts w:eastAsia="Times New Roman" w:cs="Arial"/>
          <w:b/>
          <w:bCs/>
          <w:lang w:eastAsia="de-DE"/>
        </w:rPr>
        <w:t>12</w:t>
      </w:r>
      <w:r w:rsidRPr="00732D97">
        <w:rPr>
          <w:rFonts w:eastAsia="Times New Roman" w:cs="Arial"/>
          <w:b/>
          <w:bCs/>
          <w:lang w:eastAsia="de-DE"/>
        </w:rPr>
        <w:t xml:space="preserve"> – Revisionsstelle</w:t>
      </w:r>
    </w:p>
    <w:p w14:paraId="70C4F1F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eine Revisionsstelle gemäss den Anforderungen des Obligationenrechts und des Revisionsaufsichtsgesetzes.</w:t>
      </w:r>
    </w:p>
    <w:p w14:paraId="4E82FE99"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26E0F39"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Sie kann auf die Wahl einer Revisionsstelle verzichten, wenn:</w:t>
      </w:r>
    </w:p>
    <w:p w14:paraId="234AB6CE"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zur ordentlichen Revision verpflichtet ist;</w:t>
      </w:r>
    </w:p>
    <w:p w14:paraId="0453C00D"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sämtliche Gesellschafter zustimmen; und</w:t>
      </w:r>
    </w:p>
    <w:p w14:paraId="1BFB6394" w14:textId="77777777" w:rsid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mehr als zehn Vollzeitstellen im Jahresdurchschnitt hat.</w:t>
      </w:r>
    </w:p>
    <w:p w14:paraId="1627E8BA" w14:textId="77777777" w:rsidR="00B50D54" w:rsidRPr="00732D97" w:rsidRDefault="00B50D54" w:rsidP="000D5E1A">
      <w:pPr>
        <w:tabs>
          <w:tab w:val="clear" w:pos="425"/>
          <w:tab w:val="clear" w:pos="851"/>
          <w:tab w:val="clear" w:pos="1276"/>
          <w:tab w:val="clear" w:pos="5245"/>
          <w:tab w:val="clear" w:pos="9639"/>
        </w:tabs>
        <w:spacing w:before="120" w:after="120" w:line="240" w:lineRule="auto"/>
        <w:ind w:right="-2"/>
        <w:jc w:val="both"/>
        <w:rPr>
          <w:rFonts w:eastAsia="Times New Roman" w:cs="Arial"/>
          <w:color w:val="000000"/>
          <w:lang w:eastAsia="de-DE"/>
        </w:rPr>
      </w:pPr>
    </w:p>
    <w:p w14:paraId="1417F7BF"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Der Verzicht gilt auch für die nachfolgenden Jahre. Jeder Gesellschafter hat jedoch das Recht, spätestens 10 Tage vor der Gesellschafterversammlung die Durchführung einer eingeschränkten Revision und die Wahl einer entsprechenden Revisionsstelle zu verlangen. Die Gesellschafterversammlung darf diesfalls die Beschlüsse über die Genehmigung des Jahresberichtes und der Jahresrechnung sowie über die Verwendung des Bilanzgewinnes, insbesondere die Festsetzung der Dividende, erst fassen, wenn der Revisionsbericht vorliegt.</w:t>
      </w:r>
    </w:p>
    <w:p w14:paraId="76881B7F" w14:textId="511FD61A"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 xml:space="preserve">Artikel </w:t>
      </w:r>
      <w:r w:rsidR="00341A6A">
        <w:rPr>
          <w:rFonts w:eastAsia="Times New Roman" w:cs="Arial"/>
          <w:b/>
          <w:bCs/>
          <w:lang w:eastAsia="de-DE"/>
        </w:rPr>
        <w:t>1</w:t>
      </w:r>
      <w:r w:rsidR="005432F5">
        <w:rPr>
          <w:rFonts w:eastAsia="Times New Roman" w:cs="Arial"/>
          <w:b/>
          <w:bCs/>
          <w:lang w:eastAsia="de-DE"/>
        </w:rPr>
        <w:t>3</w:t>
      </w:r>
      <w:r w:rsidRPr="00732D97">
        <w:rPr>
          <w:rFonts w:eastAsia="Times New Roman" w:cs="Arial"/>
          <w:b/>
          <w:bCs/>
          <w:lang w:eastAsia="de-DE"/>
        </w:rPr>
        <w:t xml:space="preserve"> – Geschäftsjahr und Buchführung</w:t>
      </w:r>
    </w:p>
    <w:p w14:paraId="5E93D16B" w14:textId="0C4CFADE"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Geschäftsjahr </w:t>
      </w:r>
      <w:r w:rsidR="00401642">
        <w:rPr>
          <w:rFonts w:eastAsia="Times New Roman" w:cs="Arial"/>
          <w:color w:val="000000"/>
          <w:lang w:eastAsia="de-DE"/>
        </w:rPr>
        <w:t>wird von der Geschäftsführung festgelegt. Ohne anderslautenden Beschluss begin</w:t>
      </w:r>
      <w:r w:rsidR="00B50D54">
        <w:rPr>
          <w:rFonts w:eastAsia="Times New Roman" w:cs="Arial"/>
          <w:color w:val="000000"/>
          <w:lang w:eastAsia="de-DE"/>
        </w:rPr>
        <w:t>n</w:t>
      </w:r>
      <w:r w:rsidR="00401642">
        <w:rPr>
          <w:rFonts w:eastAsia="Times New Roman" w:cs="Arial"/>
          <w:color w:val="000000"/>
          <w:lang w:eastAsia="de-DE"/>
        </w:rPr>
        <w:t>t es am 1. Januar und endet am 31. Dezember.</w:t>
      </w:r>
    </w:p>
    <w:p w14:paraId="67D5E07E"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3122DD3"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Jahresrechnung, bestehend aus Erfolgsrechnung, Bilanz und Anhang, ist gemäss den Vorschriften des Schweizerischen Obligationenrechts, insbesondere der Art. 957 ff., zu erstellen.</w:t>
      </w:r>
    </w:p>
    <w:p w14:paraId="3B74A848" w14:textId="77777777" w:rsidR="00341A6A" w:rsidRDefault="00341A6A"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568A794" w14:textId="11EFBD41" w:rsidR="00341A6A" w:rsidRPr="00341A6A" w:rsidRDefault="00341A6A" w:rsidP="00341A6A">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341A6A">
        <w:rPr>
          <w:rFonts w:eastAsia="Times New Roman" w:cs="Arial"/>
          <w:b/>
          <w:bCs/>
          <w:lang w:eastAsia="de-DE"/>
        </w:rPr>
        <w:t>Artikel 1</w:t>
      </w:r>
      <w:r w:rsidR="005432F5">
        <w:rPr>
          <w:rFonts w:eastAsia="Times New Roman" w:cs="Arial"/>
          <w:b/>
          <w:bCs/>
          <w:lang w:eastAsia="de-DE"/>
        </w:rPr>
        <w:t>4</w:t>
      </w:r>
      <w:r w:rsidRPr="00341A6A">
        <w:rPr>
          <w:rFonts w:eastAsia="Times New Roman" w:cs="Arial"/>
          <w:b/>
          <w:bCs/>
          <w:lang w:eastAsia="de-DE"/>
        </w:rPr>
        <w:t xml:space="preserve"> - Austritt</w:t>
      </w:r>
    </w:p>
    <w:p w14:paraId="1AF18EF1"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Jeder Gesellschafter hat das Recht, aus der Gesellschaft auszutreten, wenn:</w:t>
      </w:r>
    </w:p>
    <w:p w14:paraId="4005738A" w14:textId="77777777" w:rsidR="00341A6A" w:rsidRDefault="00341A6A" w:rsidP="00341A6A">
      <w:pPr>
        <w:numPr>
          <w:ilvl w:val="0"/>
          <w:numId w:val="27"/>
        </w:numPr>
        <w:tabs>
          <w:tab w:val="clear" w:pos="425"/>
          <w:tab w:val="clear" w:pos="720"/>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341A6A">
        <w:rPr>
          <w:rFonts w:eastAsia="Times New Roman" w:cs="Arial"/>
          <w:color w:val="000000"/>
          <w:lang w:eastAsia="de-DE"/>
        </w:rPr>
        <w:t xml:space="preserve">er eine Kündigungsfrist von </w:t>
      </w:r>
      <w:r>
        <w:rPr>
          <w:rFonts w:eastAsia="Times New Roman" w:cs="Arial"/>
          <w:color w:val="000000"/>
          <w:lang w:eastAsia="de-DE"/>
        </w:rPr>
        <w:t>sechs Monaten</w:t>
      </w:r>
      <w:r w:rsidRPr="00341A6A">
        <w:rPr>
          <w:rFonts w:eastAsia="Times New Roman" w:cs="Arial"/>
          <w:color w:val="000000"/>
          <w:lang w:eastAsia="de-DE"/>
        </w:rPr>
        <w:t xml:space="preserve"> auf das Ende</w:t>
      </w:r>
      <w:r>
        <w:rPr>
          <w:rFonts w:eastAsia="Times New Roman" w:cs="Arial"/>
          <w:color w:val="000000"/>
          <w:lang w:eastAsia="de-DE"/>
        </w:rPr>
        <w:t xml:space="preserve"> eines Geschäftsjahres einhält;</w:t>
      </w:r>
    </w:p>
    <w:p w14:paraId="2C2E539E" w14:textId="77777777" w:rsidR="00341A6A" w:rsidRPr="00341A6A" w:rsidRDefault="00341A6A" w:rsidP="00341A6A">
      <w:pPr>
        <w:numPr>
          <w:ilvl w:val="0"/>
          <w:numId w:val="27"/>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341A6A">
        <w:rPr>
          <w:rFonts w:eastAsia="Times New Roman" w:cs="Arial"/>
          <w:color w:val="000000"/>
          <w:lang w:eastAsia="de-DE"/>
        </w:rPr>
        <w:t>die Gesellschaft zum Zeitpunkt der Übernahme über verwendbares Eigenkapital in der Höhe der dafür nötigen Mittel verfügt, um die Stammanteile des austretenden Gesellschafters zum wirklichen Wert zu übernehmen; und</w:t>
      </w:r>
    </w:p>
    <w:p w14:paraId="084AB01D" w14:textId="77777777" w:rsidR="00341A6A" w:rsidRPr="00341A6A" w:rsidRDefault="00341A6A" w:rsidP="00341A6A">
      <w:pPr>
        <w:numPr>
          <w:ilvl w:val="0"/>
          <w:numId w:val="27"/>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341A6A">
        <w:rPr>
          <w:rFonts w:eastAsia="Times New Roman" w:cs="Arial"/>
          <w:color w:val="000000"/>
          <w:lang w:eastAsia="de-DE"/>
        </w:rPr>
        <w:t>die Gesellschaft bei der Übernahme die Höchstgrenze von 35 % eigener Stammanteile nicht übersteigt.</w:t>
      </w:r>
    </w:p>
    <w:p w14:paraId="3453089A" w14:textId="55A416A2" w:rsidR="00341A6A" w:rsidRPr="00341A6A" w:rsidRDefault="005432F5"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E2EA7">
        <w:rPr>
          <w:szCs w:val="22"/>
          <w:lang w:eastAsia="de-CH"/>
        </w:rPr>
        <w:t>Die Gesellschaft darf eigene Stammanteile nur dann erwerben, wenn frei verwendbares Eigenkapital in der Höhe der dafür nötigen Mittel vorhanden ist und der gesamte Nennwert dieser Stammanteile zehn Prozent des Stammkapitals nicht übersteigt</w:t>
      </w:r>
      <w:r w:rsidR="006874E8">
        <w:rPr>
          <w:szCs w:val="22"/>
          <w:lang w:eastAsia="de-CH"/>
        </w:rPr>
        <w:t>.</w:t>
      </w:r>
      <w:r w:rsidR="00341A6A" w:rsidRPr="00341A6A">
        <w:rPr>
          <w:rFonts w:eastAsia="Times New Roman" w:cs="Arial"/>
          <w:color w:val="000000"/>
          <w:lang w:eastAsia="de-DE"/>
        </w:rPr>
        <w:t xml:space="preserve"> </w:t>
      </w:r>
    </w:p>
    <w:p w14:paraId="707DBB08"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27D1FDD" w14:textId="77777777" w:rsid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Diese Bestimmung kann nur durch einstimmigen Beschluss aller Gesellschafter geändert oder aufgehoben werden.</w:t>
      </w:r>
    </w:p>
    <w:p w14:paraId="353C21CD" w14:textId="77777777" w:rsidR="00341A6A" w:rsidRPr="00341A6A" w:rsidRDefault="00341A6A" w:rsidP="00341A6A">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5EE97802" w14:textId="77777777" w:rsidR="00341A6A" w:rsidRPr="00732D97" w:rsidRDefault="00341A6A"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341A6A">
        <w:rPr>
          <w:rFonts w:eastAsia="Times New Roman" w:cs="Arial"/>
          <w:color w:val="000000"/>
          <w:lang w:eastAsia="de-DE"/>
        </w:rPr>
        <w:t>Jeder Gesellschafter kann aus wichtigem Grund beim Gericht auf Bewilligung des Austritts klagen.</w:t>
      </w:r>
    </w:p>
    <w:p w14:paraId="3DADC9F5" w14:textId="684A498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 xml:space="preserve">Artikel </w:t>
      </w:r>
      <w:r w:rsidR="00341A6A">
        <w:rPr>
          <w:rFonts w:eastAsia="Times New Roman" w:cs="Arial"/>
          <w:b/>
          <w:bCs/>
          <w:lang w:eastAsia="de-DE"/>
        </w:rPr>
        <w:t>1</w:t>
      </w:r>
      <w:r w:rsidR="005432F5">
        <w:rPr>
          <w:rFonts w:eastAsia="Times New Roman" w:cs="Arial"/>
          <w:b/>
          <w:bCs/>
          <w:lang w:eastAsia="de-DE"/>
        </w:rPr>
        <w:t>5</w:t>
      </w:r>
      <w:r w:rsidRPr="00732D97">
        <w:rPr>
          <w:rFonts w:eastAsia="Times New Roman" w:cs="Arial"/>
          <w:b/>
          <w:bCs/>
          <w:lang w:eastAsia="de-DE"/>
        </w:rPr>
        <w:t xml:space="preserve"> – Mitteilungen </w:t>
      </w:r>
      <w:r w:rsidR="005432F5">
        <w:rPr>
          <w:rFonts w:eastAsia="Times New Roman" w:cs="Arial"/>
          <w:b/>
          <w:bCs/>
          <w:lang w:eastAsia="de-DE"/>
        </w:rPr>
        <w:t>an die Gesellschafter</w:t>
      </w:r>
    </w:p>
    <w:p w14:paraId="4F297EB1" w14:textId="26495835"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Mitteilungen der </w:t>
      </w:r>
      <w:r w:rsidR="00B50D54">
        <w:rPr>
          <w:rFonts w:eastAsia="Times New Roman" w:cs="Arial"/>
          <w:color w:val="000000"/>
          <w:lang w:eastAsia="de-DE"/>
        </w:rPr>
        <w:t>Gesellschaft</w:t>
      </w:r>
      <w:r w:rsidR="00B50D54" w:rsidRPr="00732D97">
        <w:rPr>
          <w:rFonts w:eastAsia="Times New Roman" w:cs="Arial"/>
          <w:color w:val="000000"/>
          <w:lang w:eastAsia="de-DE"/>
        </w:rPr>
        <w:t xml:space="preserve"> </w:t>
      </w:r>
      <w:r w:rsidRPr="00732D97">
        <w:rPr>
          <w:rFonts w:eastAsia="Times New Roman" w:cs="Arial"/>
          <w:color w:val="000000"/>
          <w:lang w:eastAsia="de-DE"/>
        </w:rPr>
        <w:t>an die Gesellschafter erfolgen per Brief</w:t>
      </w:r>
      <w:r w:rsidR="00031FFB">
        <w:rPr>
          <w:rFonts w:eastAsia="Times New Roman" w:cs="Arial"/>
          <w:color w:val="000000"/>
          <w:lang w:eastAsia="de-DE"/>
        </w:rPr>
        <w:t xml:space="preserve"> oder</w:t>
      </w:r>
      <w:r w:rsidRPr="00732D97">
        <w:rPr>
          <w:rFonts w:eastAsia="Times New Roman" w:cs="Arial"/>
          <w:color w:val="000000"/>
          <w:lang w:eastAsia="de-DE"/>
        </w:rPr>
        <w:t xml:space="preserve"> E-Mail an die im Anteilbuch verzeichneten Adressen. </w:t>
      </w:r>
    </w:p>
    <w:p w14:paraId="05EE191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45DB41" w14:textId="7CC26F4A"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4F91A2B" w14:textId="77777777" w:rsidR="00B450FB" w:rsidRDefault="00B450FB" w:rsidP="00711931">
      <w:pPr>
        <w:ind w:right="-2"/>
      </w:pPr>
    </w:p>
    <w:p w14:paraId="636D9705" w14:textId="77777777" w:rsidR="008A338F" w:rsidRDefault="008A338F" w:rsidP="00711931">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14:paraId="7E478BE1" w14:textId="77777777" w:rsidR="008A338F" w:rsidRDefault="008A338F" w:rsidP="00711931">
      <w:pPr>
        <w:ind w:right="-2"/>
      </w:pPr>
    </w:p>
    <w:p w14:paraId="19CE3A9D" w14:textId="77777777" w:rsidR="008A338F" w:rsidRDefault="008A338F" w:rsidP="00711931">
      <w:pPr>
        <w:ind w:right="-2"/>
      </w:pPr>
    </w:p>
    <w:p w14:paraId="17AB66E3" w14:textId="77777777" w:rsidR="008A338F" w:rsidRDefault="008A338F" w:rsidP="00711931">
      <w:pPr>
        <w:ind w:right="-2"/>
      </w:pPr>
    </w:p>
    <w:p w14:paraId="2596E1BE" w14:textId="77777777" w:rsidR="008A338F" w:rsidRDefault="008A338F" w:rsidP="00711931">
      <w:pPr>
        <w:ind w:right="-2"/>
      </w:pPr>
      <w:r>
        <w:t>____________________</w:t>
      </w:r>
    </w:p>
    <w:p w14:paraId="285EF03F" w14:textId="77777777" w:rsidR="008A338F" w:rsidRPr="008A338F" w:rsidRDefault="008A338F" w:rsidP="00711931">
      <w:pPr>
        <w:ind w:right="-2"/>
        <w:rPr>
          <w:highlight w:val="lightGray"/>
        </w:rPr>
      </w:pPr>
      <w:r w:rsidRPr="008A338F">
        <w:rPr>
          <w:highlight w:val="lightGray"/>
        </w:rPr>
        <w:t>[Name, Vorname]</w:t>
      </w:r>
    </w:p>
    <w:sectPr w:rsidR="008A338F" w:rsidRPr="008A338F" w:rsidSect="008511DB">
      <w:footerReference w:type="default" r:id="rId14"/>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25FC5" w14:textId="77777777" w:rsidR="00DF6CA7" w:rsidRDefault="00DF6CA7" w:rsidP="004F60AB">
      <w:pPr>
        <w:spacing w:line="240" w:lineRule="auto"/>
      </w:pPr>
      <w:r>
        <w:separator/>
      </w:r>
    </w:p>
  </w:endnote>
  <w:endnote w:type="continuationSeparator" w:id="0">
    <w:p w14:paraId="144DADF2" w14:textId="77777777" w:rsidR="00DF6CA7" w:rsidRDefault="00DF6CA7"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D2188" w14:textId="6F504594" w:rsidR="00710A42" w:rsidRPr="008511DB" w:rsidRDefault="00DF6CA7" w:rsidP="008511DB">
    <w:pPr>
      <w:pStyle w:val="Fuzeile"/>
      <w:tabs>
        <w:tab w:val="clear" w:pos="425"/>
        <w:tab w:val="clear" w:pos="851"/>
        <w:tab w:val="clear" w:pos="1276"/>
        <w:tab w:val="clear" w:pos="5245"/>
        <w:tab w:val="clear" w:pos="9639"/>
        <w:tab w:val="right" w:pos="9070"/>
      </w:tabs>
    </w:pPr>
    <w:fldSimple w:instr=" FILENAME \* MERGEFORMAT ">
      <w:r w:rsidR="00F46C53">
        <w:t xml:space="preserve">Musterstatuten GmbH </w:t>
      </w:r>
      <w:r w:rsidR="00B50D54">
        <w:t>Langversion</w:t>
      </w:r>
    </w:fldSimple>
    <w:r w:rsidR="008511DB">
      <w:tab/>
    </w:r>
    <w:r w:rsidR="008511DB">
      <w:fldChar w:fldCharType="begin"/>
    </w:r>
    <w:r w:rsidR="008511DB">
      <w:instrText xml:space="preserve"> PAGE  \* Arabic  \* MERGEFORMAT </w:instrText>
    </w:r>
    <w:r w:rsidR="008511DB">
      <w:fldChar w:fldCharType="separate"/>
    </w:r>
    <w:r w:rsidR="001E30F2">
      <w:t>2</w:t>
    </w:r>
    <w:r w:rsidR="008511DB">
      <w:fldChar w:fldCharType="end"/>
    </w:r>
    <w:r w:rsidR="008511DB">
      <w:t>/</w:t>
    </w:r>
    <w:r w:rsidR="001E30F2">
      <w:fldChar w:fldCharType="begin"/>
    </w:r>
    <w:r w:rsidR="001E30F2">
      <w:instrText xml:space="preserve"> NUMPAGES  \* Arabic  \* MERGEFORMAT </w:instrText>
    </w:r>
    <w:r w:rsidR="001E30F2">
      <w:fldChar w:fldCharType="separate"/>
    </w:r>
    <w:r w:rsidR="001E30F2">
      <w:t>5</w:t>
    </w:r>
    <w:r w:rsidR="001E30F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ECC31" w14:textId="77777777" w:rsidR="00DF6CA7" w:rsidRDefault="00DF6CA7" w:rsidP="004F60AB">
      <w:pPr>
        <w:spacing w:line="240" w:lineRule="auto"/>
      </w:pPr>
      <w:r>
        <w:separator/>
      </w:r>
    </w:p>
  </w:footnote>
  <w:footnote w:type="continuationSeparator" w:id="0">
    <w:p w14:paraId="6BD8DB8C" w14:textId="77777777" w:rsidR="00DF6CA7" w:rsidRDefault="00DF6CA7" w:rsidP="004F60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CD15892"/>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CD70AB"/>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2" w15:restartNumberingAfterBreak="0">
    <w:nsid w:val="6465370B"/>
    <w:multiLevelType w:val="hybridMultilevel"/>
    <w:tmpl w:val="B4F214D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20"/>
  </w:num>
  <w:num w:numId="2">
    <w:abstractNumId w:val="2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9"/>
  </w:num>
  <w:num w:numId="20">
    <w:abstractNumId w:val="15"/>
  </w:num>
  <w:num w:numId="21">
    <w:abstractNumId w:val="13"/>
  </w:num>
  <w:num w:numId="22">
    <w:abstractNumId w:val="12"/>
  </w:num>
  <w:num w:numId="23">
    <w:abstractNumId w:val="18"/>
  </w:num>
  <w:num w:numId="24">
    <w:abstractNumId w:val="23"/>
  </w:num>
  <w:num w:numId="25">
    <w:abstractNumId w:val="22"/>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31FFB"/>
    <w:rsid w:val="00066DC5"/>
    <w:rsid w:val="000C1C6F"/>
    <w:rsid w:val="000D5E1A"/>
    <w:rsid w:val="000F7BD5"/>
    <w:rsid w:val="00105A8A"/>
    <w:rsid w:val="0010701E"/>
    <w:rsid w:val="001075DA"/>
    <w:rsid w:val="00111284"/>
    <w:rsid w:val="00113AA6"/>
    <w:rsid w:val="0012552A"/>
    <w:rsid w:val="00151A47"/>
    <w:rsid w:val="0017544C"/>
    <w:rsid w:val="0018552E"/>
    <w:rsid w:val="00190184"/>
    <w:rsid w:val="001D331A"/>
    <w:rsid w:val="001E30F2"/>
    <w:rsid w:val="0020721C"/>
    <w:rsid w:val="00207F22"/>
    <w:rsid w:val="00222FA3"/>
    <w:rsid w:val="00254EEF"/>
    <w:rsid w:val="00284B0D"/>
    <w:rsid w:val="002A597A"/>
    <w:rsid w:val="002B1EB9"/>
    <w:rsid w:val="003106EA"/>
    <w:rsid w:val="00341A6A"/>
    <w:rsid w:val="00373FFA"/>
    <w:rsid w:val="003D66F9"/>
    <w:rsid w:val="003F3B1A"/>
    <w:rsid w:val="00401642"/>
    <w:rsid w:val="004047E4"/>
    <w:rsid w:val="0044342E"/>
    <w:rsid w:val="004629EA"/>
    <w:rsid w:val="004950C9"/>
    <w:rsid w:val="004A544D"/>
    <w:rsid w:val="004F60AB"/>
    <w:rsid w:val="005033A8"/>
    <w:rsid w:val="00535A55"/>
    <w:rsid w:val="00541CFE"/>
    <w:rsid w:val="005432F5"/>
    <w:rsid w:val="00554C1B"/>
    <w:rsid w:val="0059260B"/>
    <w:rsid w:val="005C5F1C"/>
    <w:rsid w:val="005E3AA7"/>
    <w:rsid w:val="005E4161"/>
    <w:rsid w:val="006025A0"/>
    <w:rsid w:val="00603F78"/>
    <w:rsid w:val="0061214B"/>
    <w:rsid w:val="00622256"/>
    <w:rsid w:val="0066341B"/>
    <w:rsid w:val="0067384B"/>
    <w:rsid w:val="006874E8"/>
    <w:rsid w:val="0069089A"/>
    <w:rsid w:val="006930C7"/>
    <w:rsid w:val="00710A42"/>
    <w:rsid w:val="00711931"/>
    <w:rsid w:val="0071720F"/>
    <w:rsid w:val="00732D97"/>
    <w:rsid w:val="00762948"/>
    <w:rsid w:val="0076587F"/>
    <w:rsid w:val="007961D6"/>
    <w:rsid w:val="007A0255"/>
    <w:rsid w:val="007B186C"/>
    <w:rsid w:val="007C7E52"/>
    <w:rsid w:val="008112A7"/>
    <w:rsid w:val="00820F22"/>
    <w:rsid w:val="00822C80"/>
    <w:rsid w:val="0082573D"/>
    <w:rsid w:val="00827F3A"/>
    <w:rsid w:val="008511DB"/>
    <w:rsid w:val="0086445A"/>
    <w:rsid w:val="008812BC"/>
    <w:rsid w:val="00881F26"/>
    <w:rsid w:val="008A338F"/>
    <w:rsid w:val="008A68FB"/>
    <w:rsid w:val="008B515D"/>
    <w:rsid w:val="008C4618"/>
    <w:rsid w:val="00903AC3"/>
    <w:rsid w:val="00911BD6"/>
    <w:rsid w:val="0091481F"/>
    <w:rsid w:val="00927E5A"/>
    <w:rsid w:val="00976A43"/>
    <w:rsid w:val="009A28D6"/>
    <w:rsid w:val="009A4D50"/>
    <w:rsid w:val="009C5EF7"/>
    <w:rsid w:val="009D2392"/>
    <w:rsid w:val="009D60DC"/>
    <w:rsid w:val="009D6A98"/>
    <w:rsid w:val="009E111B"/>
    <w:rsid w:val="009F0792"/>
    <w:rsid w:val="009F7AA7"/>
    <w:rsid w:val="00A10539"/>
    <w:rsid w:val="00A34900"/>
    <w:rsid w:val="00A72F0C"/>
    <w:rsid w:val="00AD717B"/>
    <w:rsid w:val="00B25D92"/>
    <w:rsid w:val="00B3115E"/>
    <w:rsid w:val="00B450FB"/>
    <w:rsid w:val="00B50D54"/>
    <w:rsid w:val="00B60A54"/>
    <w:rsid w:val="00B81F05"/>
    <w:rsid w:val="00B82448"/>
    <w:rsid w:val="00BE0340"/>
    <w:rsid w:val="00BE68CD"/>
    <w:rsid w:val="00C029A8"/>
    <w:rsid w:val="00C81800"/>
    <w:rsid w:val="00CA09D5"/>
    <w:rsid w:val="00CA20FF"/>
    <w:rsid w:val="00CD374A"/>
    <w:rsid w:val="00D16C5F"/>
    <w:rsid w:val="00D345D6"/>
    <w:rsid w:val="00D50BD0"/>
    <w:rsid w:val="00D56538"/>
    <w:rsid w:val="00D57478"/>
    <w:rsid w:val="00D627E4"/>
    <w:rsid w:val="00D858F6"/>
    <w:rsid w:val="00D86613"/>
    <w:rsid w:val="00D86E0C"/>
    <w:rsid w:val="00DD0151"/>
    <w:rsid w:val="00DF6CA7"/>
    <w:rsid w:val="00E37ABF"/>
    <w:rsid w:val="00E42444"/>
    <w:rsid w:val="00E670FF"/>
    <w:rsid w:val="00E726FF"/>
    <w:rsid w:val="00EA381E"/>
    <w:rsid w:val="00EF5582"/>
    <w:rsid w:val="00F12137"/>
    <w:rsid w:val="00F46C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E25BA"/>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Text">
    <w:name w:val="Artikel - Text"/>
    <w:basedOn w:val="Standard"/>
    <w:link w:val="Artikel-TextZchn"/>
    <w:qFormat/>
    <w:rsid w:val="00401642"/>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TextZchn">
    <w:name w:val="Artikel - Text Zchn"/>
    <w:basedOn w:val="Absatz-Standardschriftart"/>
    <w:link w:val="Artikel-Text"/>
    <w:rsid w:val="00401642"/>
    <w:rPr>
      <w:rFonts w:eastAsia="Times New Roman" w:cs="Arial"/>
      <w:color w:val="000000"/>
      <w:lang w:eastAsia="de-DE"/>
    </w:rPr>
  </w:style>
  <w:style w:type="character" w:styleId="Kommentarzeichen">
    <w:name w:val="annotation reference"/>
    <w:basedOn w:val="Absatz-Standardschriftart"/>
    <w:uiPriority w:val="99"/>
    <w:semiHidden/>
    <w:unhideWhenUsed/>
    <w:rsid w:val="00B50D54"/>
    <w:rPr>
      <w:sz w:val="16"/>
      <w:szCs w:val="16"/>
    </w:rPr>
  </w:style>
  <w:style w:type="paragraph" w:styleId="Kommentartext">
    <w:name w:val="annotation text"/>
    <w:basedOn w:val="Standard"/>
    <w:link w:val="KommentartextZchn"/>
    <w:uiPriority w:val="99"/>
    <w:semiHidden/>
    <w:unhideWhenUsed/>
    <w:rsid w:val="00B50D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D54"/>
    <w:rPr>
      <w:sz w:val="20"/>
      <w:szCs w:val="20"/>
    </w:rPr>
  </w:style>
  <w:style w:type="paragraph" w:styleId="Kommentarthema">
    <w:name w:val="annotation subject"/>
    <w:basedOn w:val="Kommentartext"/>
    <w:next w:val="Kommentartext"/>
    <w:link w:val="KommentarthemaZchn"/>
    <w:uiPriority w:val="99"/>
    <w:semiHidden/>
    <w:unhideWhenUsed/>
    <w:rsid w:val="00B50D54"/>
    <w:rPr>
      <w:b/>
      <w:bCs/>
    </w:rPr>
  </w:style>
  <w:style w:type="character" w:customStyle="1" w:styleId="KommentarthemaZchn">
    <w:name w:val="Kommentarthema Zchn"/>
    <w:basedOn w:val="KommentartextZchn"/>
    <w:link w:val="Kommentarthema"/>
    <w:uiPriority w:val="99"/>
    <w:semiHidden/>
    <w:rsid w:val="00B50D54"/>
    <w:rPr>
      <w:b/>
      <w:bCs/>
      <w:sz w:val="20"/>
      <w:szCs w:val="20"/>
    </w:rPr>
  </w:style>
  <w:style w:type="paragraph" w:styleId="berarbeitung">
    <w:name w:val="Revision"/>
    <w:hidden/>
    <w:uiPriority w:val="99"/>
    <w:semiHidden/>
    <w:rsid w:val="000D5E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hnungsDatum/>
</rechnungen>
</file>

<file path=customXml/item2.xml><?xml version="1.0" encoding="utf-8"?>
<rechnungen xmlns="http://www.hahner.de/rechnungen">
  <RechnungsNr/>
  <ReczhnungsDatum/>
</rechnungen>
</file>

<file path=customXml/item3.xml><?xml version="1.0" encoding="utf-8"?>
<abtretungsvertrag xmlns="http://www.gmbh.ch/abtretungsvertrag">
  <GmbHFirma/>
  <GmbHVeraeusserer/>
  <GmbHErwerber/>
</abtretungsvertrag>
</file>

<file path=customXml/item4.xml><?xml version="1.0" encoding="utf-8"?>
<abtretungsvertrag xmlns="http://www.hahner.de/rechnungen">
  <GmbHFirma/>
  <GmbHVeraeusserer/>
  <GmbHErwerber/>
</abtretungsvertrag>
</file>

<file path=customXml/item5.xml><?xml version="1.0" encoding="utf-8"?>
<rechnungen xmlns="http://www.hahner.de/rechnungen">
  <GmbHFirma/>
  <GmbHVeraeusserer/>
  <GmbHErwerber/>
</rechnungen>
</file>

<file path=customXml/item6.xml><?xml version="1.0" encoding="utf-8"?>
<rechnungen xmlns="http://www.hahner.de/rechnungen">
  <GmbHFirma/>
  <GmbHVeraeusserer/>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8E50-5A11-44D5-8F94-E5A39D04AB9A}">
  <ds:schemaRefs>
    <ds:schemaRef ds:uri="http://www.hahner.de/rechnungen"/>
  </ds:schemaRefs>
</ds:datastoreItem>
</file>

<file path=customXml/itemProps2.xml><?xml version="1.0" encoding="utf-8"?>
<ds:datastoreItem xmlns:ds="http://schemas.openxmlformats.org/officeDocument/2006/customXml" ds:itemID="{58C845EB-D6DF-4357-BD28-F7CA13470A70}">
  <ds:schemaRefs>
    <ds:schemaRef ds:uri="http://www.hahner.de/rechnungen"/>
  </ds:schemaRefs>
</ds:datastoreItem>
</file>

<file path=customXml/itemProps3.xml><?xml version="1.0" encoding="utf-8"?>
<ds:datastoreItem xmlns:ds="http://schemas.openxmlformats.org/officeDocument/2006/customXml" ds:itemID="{D90357AA-2493-43B7-88AE-0516FCE80FA6}">
  <ds:schemaRefs>
    <ds:schemaRef ds:uri="http://www.gmbh.ch/abtretungsvertrag"/>
  </ds:schemaRefs>
</ds:datastoreItem>
</file>

<file path=customXml/itemProps4.xml><?xml version="1.0" encoding="utf-8"?>
<ds:datastoreItem xmlns:ds="http://schemas.openxmlformats.org/officeDocument/2006/customXml" ds:itemID="{D466306A-C0FB-4F7D-BCB2-B0686648FD62}">
  <ds:schemaRefs>
    <ds:schemaRef ds:uri="http://www.hahner.de/rechnungen"/>
  </ds:schemaRefs>
</ds:datastoreItem>
</file>

<file path=customXml/itemProps5.xml><?xml version="1.0" encoding="utf-8"?>
<ds:datastoreItem xmlns:ds="http://schemas.openxmlformats.org/officeDocument/2006/customXml" ds:itemID="{B338E5C3-09C2-4DC6-AB08-5C47A73E4CBD}">
  <ds:schemaRefs>
    <ds:schemaRef ds:uri="http://www.hahner.de/rechnungen"/>
  </ds:schemaRefs>
</ds:datastoreItem>
</file>

<file path=customXml/itemProps6.xml><?xml version="1.0" encoding="utf-8"?>
<ds:datastoreItem xmlns:ds="http://schemas.openxmlformats.org/officeDocument/2006/customXml" ds:itemID="{46B1FF3D-7C2D-4FC0-AF3B-176D0F3995BD}">
  <ds:schemaRefs>
    <ds:schemaRef ds:uri="http://www.hahner.de/rechnungen"/>
  </ds:schemaRefs>
</ds:datastoreItem>
</file>

<file path=customXml/itemProps7.xml><?xml version="1.0" encoding="utf-8"?>
<ds:datastoreItem xmlns:ds="http://schemas.openxmlformats.org/officeDocument/2006/customXml" ds:itemID="{757E6B53-61D6-4267-BA7B-E16B4414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8446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Janjic Slavica DI-AfHN</cp:lastModifiedBy>
  <cp:revision>2</cp:revision>
  <dcterms:created xsi:type="dcterms:W3CDTF">2023-09-04T11:49:00Z</dcterms:created>
  <dcterms:modified xsi:type="dcterms:W3CDTF">2023-09-04T11:49:00Z</dcterms:modified>
</cp:coreProperties>
</file>