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4F09" w14:textId="77777777" w:rsidR="00EF455C" w:rsidRDefault="00EF455C" w:rsidP="00EF455C">
      <w:pPr>
        <w:tabs>
          <w:tab w:val="left" w:pos="3969"/>
          <w:tab w:val="left" w:pos="6804"/>
        </w:tabs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             </w:t>
      </w:r>
    </w:p>
    <w:p w14:paraId="51C2E98E" w14:textId="77777777" w:rsidR="00EF455C" w:rsidRDefault="00EF455C" w:rsidP="00EF455C">
      <w:pPr>
        <w:tabs>
          <w:tab w:val="left" w:pos="3969"/>
          <w:tab w:val="left" w:pos="6804"/>
        </w:tabs>
        <w:spacing w:after="16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[…]</w:t>
      </w:r>
      <w:r>
        <w:rPr>
          <w:rFonts w:ascii="Arial" w:hAnsi="Arial" w:cs="Arial"/>
          <w:b/>
          <w:sz w:val="28"/>
          <w:szCs w:val="28"/>
        </w:rPr>
        <w:t xml:space="preserve"> GmbH</w:t>
      </w:r>
    </w:p>
    <w:p w14:paraId="3D86CBE5" w14:textId="77777777" w:rsidR="00EF455C" w:rsidRDefault="00EF455C" w:rsidP="00EF455C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 </w:t>
      </w:r>
      <w:r>
        <w:rPr>
          <w:rFonts w:ascii="Arial" w:hAnsi="Arial" w:cs="Arial"/>
          <w:sz w:val="28"/>
          <w:szCs w:val="28"/>
          <w:highlight w:val="lightGray"/>
        </w:rPr>
        <w:t>[Sitz]</w:t>
      </w:r>
    </w:p>
    <w:p w14:paraId="7748EBD3" w14:textId="77777777" w:rsidR="00EF455C" w:rsidRDefault="00EF455C" w:rsidP="00EF455C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 w:cs="Arial"/>
          <w:sz w:val="28"/>
          <w:szCs w:val="28"/>
        </w:rPr>
        <w:t>Beschlüsse der Gesellschafterversammlung</w:t>
      </w:r>
      <w:r>
        <w:rPr>
          <w:rFonts w:ascii="Arial" w:hAnsi="Arial" w:cs="Arial"/>
          <w:sz w:val="28"/>
          <w:szCs w:val="28"/>
        </w:rPr>
        <w:br/>
        <w:t>Erhöhung des Stammkapitals</w:t>
      </w:r>
    </w:p>
    <w:p w14:paraId="438C0379" w14:textId="77777777" w:rsidR="00EF455C" w:rsidRDefault="00EF455C" w:rsidP="00EF455C">
      <w:pPr>
        <w:tabs>
          <w:tab w:val="left" w:pos="3969"/>
          <w:tab w:val="left" w:pos="6804"/>
        </w:tabs>
        <w:spacing w:after="168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vom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highlight w:val="lightGray"/>
        </w:rPr>
        <w:t>[Datum]</w:t>
      </w:r>
    </w:p>
    <w:p w14:paraId="6D6E22AE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1"/>
          <w:szCs w:val="21"/>
          <w:highlight w:val="lightGray"/>
        </w:rPr>
        <w:lastRenderedPageBreak/>
        <w:t>[…]</w:t>
      </w:r>
      <w:r>
        <w:rPr>
          <w:rFonts w:ascii="Arial" w:hAnsi="Arial" w:cs="Arial"/>
          <w:sz w:val="21"/>
          <w:szCs w:val="21"/>
        </w:rPr>
        <w:t xml:space="preserve"> hat in </w:t>
      </w:r>
      <w:r>
        <w:rPr>
          <w:rFonts w:ascii="Arial" w:hAnsi="Arial" w:cs="Arial"/>
          <w:sz w:val="21"/>
          <w:szCs w:val="21"/>
          <w:highlight w:val="lightGray"/>
        </w:rPr>
        <w:t>seiner/ihrer</w:t>
      </w:r>
      <w:r>
        <w:rPr>
          <w:rFonts w:ascii="Arial" w:hAnsi="Arial" w:cs="Arial"/>
          <w:sz w:val="21"/>
          <w:szCs w:val="21"/>
        </w:rPr>
        <w:t xml:space="preserve"> Eigenschaft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als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>
        <w:rPr>
          <w:rFonts w:ascii="Arial" w:hAnsi="Arial" w:cs="Arial"/>
          <w:sz w:val="21"/>
          <w:szCs w:val="21"/>
        </w:rPr>
        <w:t xml:space="preserve"> des Kantons St.Gallen heute an der </w:t>
      </w:r>
      <w:r>
        <w:rPr>
          <w:rFonts w:ascii="Arial" w:hAnsi="Arial" w:cs="Arial"/>
          <w:sz w:val="21"/>
          <w:szCs w:val="21"/>
          <w:highlight w:val="lightGray"/>
        </w:rPr>
        <w:t>[Adresse]</w:t>
      </w:r>
      <w:r>
        <w:rPr>
          <w:rFonts w:ascii="Arial" w:hAnsi="Arial" w:cs="Arial"/>
          <w:sz w:val="21"/>
          <w:szCs w:val="21"/>
        </w:rPr>
        <w:t xml:space="preserve"> teilgenommen an der </w:t>
      </w:r>
      <w:r w:rsidR="00843402">
        <w:rPr>
          <w:rFonts w:ascii="Arial" w:hAnsi="Arial" w:cs="Arial"/>
          <w:sz w:val="21"/>
          <w:szCs w:val="21"/>
        </w:rPr>
        <w:t xml:space="preserve">ausserordentlichen </w:t>
      </w:r>
      <w:r>
        <w:rPr>
          <w:rFonts w:ascii="Arial" w:hAnsi="Arial" w:cs="Arial"/>
          <w:sz w:val="21"/>
          <w:szCs w:val="21"/>
        </w:rPr>
        <w:t>Gesellschafterversammlung der Firma</w:t>
      </w:r>
    </w:p>
    <w:p w14:paraId="3535525D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  <w:r w:rsidRPr="00646832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mit Sitz in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und über die Verhandlungen folgende öffentliche Urkunde aufgenommen:</w:t>
      </w:r>
    </w:p>
    <w:p w14:paraId="59A59C04" w14:textId="77777777" w:rsidR="00EF455C" w:rsidRPr="002F53FB" w:rsidRDefault="00EF455C" w:rsidP="00EF455C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415F2450" w14:textId="77777777" w:rsidR="00EF455C" w:rsidRPr="002F53FB" w:rsidRDefault="00EF455C" w:rsidP="00EF455C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7A00E940" w14:textId="77777777" w:rsidR="00EF455C" w:rsidRPr="002F53FB" w:rsidRDefault="00EF455C" w:rsidP="00EF455C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- 1 -</w:t>
      </w:r>
      <w:r w:rsidRPr="002F53FB">
        <w:rPr>
          <w:rFonts w:ascii="Arial" w:hAnsi="Arial" w:cs="Arial"/>
          <w:sz w:val="21"/>
          <w:szCs w:val="21"/>
        </w:rPr>
        <w:br/>
      </w:r>
    </w:p>
    <w:p w14:paraId="10013470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>Den Vorsitz übernimmt:</w:t>
      </w:r>
    </w:p>
    <w:p w14:paraId="19456DA7" w14:textId="77777777" w:rsidR="00EF455C" w:rsidRPr="0039338F" w:rsidRDefault="00EF455C" w:rsidP="00EF455C">
      <w:pPr>
        <w:rPr>
          <w:rFonts w:ascii="Arial" w:hAnsi="Arial" w:cs="Arial"/>
          <w:sz w:val="21"/>
          <w:szCs w:val="21"/>
        </w:rPr>
      </w:pPr>
    </w:p>
    <w:tbl>
      <w:tblPr>
        <w:tblW w:w="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3"/>
        <w:gridCol w:w="1986"/>
        <w:gridCol w:w="567"/>
        <w:gridCol w:w="1560"/>
        <w:gridCol w:w="425"/>
        <w:gridCol w:w="4114"/>
        <w:gridCol w:w="135"/>
      </w:tblGrid>
      <w:tr w:rsidR="00EF455C" w14:paraId="04922584" w14:textId="77777777" w:rsidTr="00D64732">
        <w:trPr>
          <w:gridAfter w:val="1"/>
          <w:wAfter w:w="135" w:type="dxa"/>
          <w:trHeight w:val="56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14:paraId="178C65A7" w14:textId="77777777" w:rsidR="00EF455C" w:rsidRDefault="00EF455C" w:rsidP="00D64732">
            <w:pPr>
              <w:numPr>
                <w:ilvl w:val="0"/>
                <w:numId w:val="18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0024842D" w14:textId="77777777" w:rsidR="00EF455C" w:rsidRDefault="00EF455C" w:rsidP="00D64732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13EF50EC" w14:textId="77777777" w:rsidR="00EF455C" w:rsidRDefault="00EF455C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5F002568" w14:textId="77777777" w:rsidR="00EF455C" w:rsidRDefault="00EF455C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23A7ED6B" w14:textId="77777777" w:rsidR="00EF455C" w:rsidRDefault="00EF455C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4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14:paraId="7C4BD75E" w14:textId="77777777" w:rsidR="00EF455C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EF455C" w14:paraId="6DF16C36" w14:textId="77777777" w:rsidTr="00D64732">
        <w:trPr>
          <w:trHeight w:val="567"/>
        </w:trPr>
        <w:tc>
          <w:tcPr>
            <w:tcW w:w="25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14:paraId="75B5EFDF" w14:textId="77777777" w:rsidR="00EF455C" w:rsidRDefault="00EF455C" w:rsidP="00D64732">
            <w:pPr>
              <w:tabs>
                <w:tab w:val="left" w:pos="3969"/>
                <w:tab w:val="left" w:pos="6804"/>
              </w:tabs>
              <w:ind w:left="3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14:paraId="5FC043AF" w14:textId="77777777" w:rsidR="00EF455C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Gesellschafter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in</w:t>
            </w:r>
            <w:r>
              <w:rPr>
                <w:rFonts w:ascii="Arial" w:hAnsi="Arial" w:cs="Arial"/>
                <w:sz w:val="21"/>
                <w:szCs w:val="21"/>
              </w:rPr>
              <w:t xml:space="preserve"> und Geschäftsführer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in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61D13313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</w:p>
    <w:p w14:paraId="31A149A1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Das Protokoll führt:</w:t>
      </w:r>
    </w:p>
    <w:p w14:paraId="13926448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</w:p>
    <w:tbl>
      <w:tblPr>
        <w:tblW w:w="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3"/>
        <w:gridCol w:w="1986"/>
        <w:gridCol w:w="567"/>
        <w:gridCol w:w="1560"/>
        <w:gridCol w:w="425"/>
        <w:gridCol w:w="4114"/>
        <w:gridCol w:w="135"/>
      </w:tblGrid>
      <w:tr w:rsidR="00EF455C" w14:paraId="72710242" w14:textId="77777777" w:rsidTr="00D64732">
        <w:trPr>
          <w:gridAfter w:val="1"/>
          <w:wAfter w:w="135" w:type="dxa"/>
          <w:trHeight w:val="56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14:paraId="721DD9DF" w14:textId="77777777" w:rsidR="00EF455C" w:rsidRDefault="00EF455C" w:rsidP="00D64732">
            <w:pPr>
              <w:numPr>
                <w:ilvl w:val="0"/>
                <w:numId w:val="18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7E3C374B" w14:textId="77777777" w:rsidR="00EF455C" w:rsidRDefault="00EF455C" w:rsidP="00D64732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67223F0A" w14:textId="77777777" w:rsidR="00EF455C" w:rsidRDefault="00EF455C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27D95A25" w14:textId="77777777" w:rsidR="00EF455C" w:rsidRDefault="00EF455C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58640C6A" w14:textId="77777777" w:rsidR="00EF455C" w:rsidRDefault="00EF455C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4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14:paraId="113D2995" w14:textId="77777777" w:rsidR="00EF455C" w:rsidRDefault="00EF455C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EF455C" w14:paraId="4C255D2C" w14:textId="77777777" w:rsidTr="00D64732">
        <w:trPr>
          <w:trHeight w:val="567"/>
        </w:trPr>
        <w:tc>
          <w:tcPr>
            <w:tcW w:w="25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14:paraId="7470829A" w14:textId="77777777" w:rsidR="00EF455C" w:rsidRDefault="00EF455C" w:rsidP="00D64732">
            <w:pPr>
              <w:tabs>
                <w:tab w:val="left" w:pos="3969"/>
                <w:tab w:val="left" w:pos="6804"/>
              </w:tabs>
              <w:ind w:left="3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14:paraId="1B4F4C0D" w14:textId="77777777" w:rsidR="00EF455C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Gesellschafter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in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507441A4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</w:p>
    <w:p w14:paraId="66470D66" w14:textId="77777777" w:rsidR="005E53A2" w:rsidRDefault="00EF455C" w:rsidP="005E53A2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  <w:r w:rsidR="005E53A2">
        <w:rPr>
          <w:rFonts w:ascii="Arial" w:hAnsi="Arial" w:cs="Arial"/>
          <w:sz w:val="21"/>
          <w:szCs w:val="21"/>
          <w:highlight w:val="lightGray"/>
        </w:rPr>
        <w:t>[Der/Die]</w:t>
      </w:r>
      <w:r w:rsidR="005E53A2">
        <w:rPr>
          <w:rFonts w:ascii="Arial" w:hAnsi="Arial" w:cs="Arial"/>
          <w:sz w:val="21"/>
          <w:szCs w:val="21"/>
        </w:rPr>
        <w:t xml:space="preserve"> </w:t>
      </w:r>
      <w:r w:rsidR="005E53A2" w:rsidRPr="00BC6E33">
        <w:rPr>
          <w:rFonts w:ascii="Arial" w:hAnsi="Arial" w:cs="Arial"/>
          <w:sz w:val="21"/>
          <w:szCs w:val="21"/>
        </w:rPr>
        <w:t xml:space="preserve">Vorsitzende </w:t>
      </w:r>
      <w:r w:rsidR="005E53A2">
        <w:rPr>
          <w:rFonts w:ascii="Arial" w:hAnsi="Arial" w:cs="Arial"/>
          <w:sz w:val="21"/>
          <w:szCs w:val="21"/>
        </w:rPr>
        <w:t xml:space="preserve">eröffnet die Gesellschafterversammlung um </w:t>
      </w:r>
      <w:r w:rsidR="005E53A2">
        <w:rPr>
          <w:rFonts w:ascii="Arial" w:hAnsi="Arial" w:cs="Arial"/>
          <w:sz w:val="21"/>
          <w:szCs w:val="21"/>
          <w:highlight w:val="lightGray"/>
        </w:rPr>
        <w:t>[…]</w:t>
      </w:r>
      <w:r w:rsidR="005E53A2">
        <w:rPr>
          <w:rFonts w:ascii="Arial" w:hAnsi="Arial" w:cs="Arial"/>
          <w:sz w:val="21"/>
          <w:szCs w:val="21"/>
        </w:rPr>
        <w:t xml:space="preserve"> Uhr und </w:t>
      </w:r>
      <w:r w:rsidR="005E53A2" w:rsidRPr="00BC6E33">
        <w:rPr>
          <w:rFonts w:ascii="Arial" w:hAnsi="Arial" w:cs="Arial"/>
          <w:sz w:val="21"/>
          <w:szCs w:val="21"/>
        </w:rPr>
        <w:t>stellt fest,</w:t>
      </w:r>
    </w:p>
    <w:p w14:paraId="016BD206" w14:textId="7E0D7B7B" w:rsidR="005E53A2" w:rsidRDefault="005E53A2" w:rsidP="00EF455C">
      <w:pPr>
        <w:rPr>
          <w:rFonts w:ascii="Arial" w:hAnsi="Arial" w:cs="Arial"/>
          <w:sz w:val="21"/>
          <w:szCs w:val="21"/>
        </w:rPr>
      </w:pPr>
    </w:p>
    <w:p w14:paraId="05F92799" w14:textId="77777777" w:rsidR="00EF455C" w:rsidRDefault="00EF455C" w:rsidP="00EF455C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dass das gesamte Stammkapital von CHF </w:t>
      </w:r>
      <w:r>
        <w:rPr>
          <w:rFonts w:ascii="Arial" w:hAnsi="Arial" w:cs="Arial"/>
          <w:sz w:val="21"/>
          <w:szCs w:val="21"/>
          <w:highlight w:val="lightGray"/>
        </w:rPr>
        <w:t>[…</w:t>
      </w:r>
      <w:proofErr w:type="gramStart"/>
      <w:r>
        <w:rPr>
          <w:rFonts w:ascii="Arial" w:hAnsi="Arial" w:cs="Arial"/>
          <w:sz w:val="21"/>
          <w:szCs w:val="21"/>
          <w:highlight w:val="lightGray"/>
        </w:rPr>
        <w:t>]</w:t>
      </w:r>
      <w:r>
        <w:rPr>
          <w:rFonts w:ascii="Arial" w:hAnsi="Arial" w:cs="Arial"/>
          <w:sz w:val="21"/>
          <w:szCs w:val="21"/>
        </w:rPr>
        <w:t>.--</w:t>
      </w:r>
      <w:proofErr w:type="gramEnd"/>
      <w:r>
        <w:rPr>
          <w:rFonts w:ascii="Arial" w:hAnsi="Arial" w:cs="Arial"/>
          <w:sz w:val="21"/>
          <w:szCs w:val="21"/>
        </w:rPr>
        <w:t xml:space="preserve"> vertreten ist;</w:t>
      </w:r>
    </w:p>
    <w:p w14:paraId="4270BC2C" w14:textId="77777777" w:rsidR="00EF455C" w:rsidRDefault="00EF455C" w:rsidP="00EF455C">
      <w:pPr>
        <w:ind w:left="360"/>
        <w:rPr>
          <w:rFonts w:ascii="Arial" w:hAnsi="Arial" w:cs="Arial"/>
          <w:sz w:val="21"/>
          <w:szCs w:val="21"/>
        </w:rPr>
      </w:pPr>
    </w:p>
    <w:p w14:paraId="79EFC889" w14:textId="77777777" w:rsidR="00EF455C" w:rsidRDefault="00EF455C" w:rsidP="00EF455C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dass </w:t>
      </w:r>
      <w:r>
        <w:rPr>
          <w:rFonts w:ascii="Arial" w:hAnsi="Arial" w:cs="Arial"/>
          <w:sz w:val="21"/>
          <w:szCs w:val="21"/>
          <w:highlight w:val="lightGray"/>
        </w:rPr>
        <w:t>[Anzahl]</w:t>
      </w:r>
      <w:r>
        <w:rPr>
          <w:rFonts w:ascii="Arial" w:hAnsi="Arial" w:cs="Arial"/>
          <w:sz w:val="21"/>
          <w:szCs w:val="21"/>
        </w:rPr>
        <w:t xml:space="preserve"> Gesellschafter anwesend sind, die insgesamt </w:t>
      </w:r>
      <w:r>
        <w:rPr>
          <w:rFonts w:ascii="Arial" w:hAnsi="Arial" w:cs="Arial"/>
          <w:sz w:val="21"/>
          <w:szCs w:val="21"/>
          <w:highlight w:val="lightGray"/>
        </w:rPr>
        <w:t>[Anzahl]</w:t>
      </w:r>
      <w:r>
        <w:rPr>
          <w:rFonts w:ascii="Arial" w:hAnsi="Arial" w:cs="Arial"/>
          <w:sz w:val="21"/>
          <w:szCs w:val="21"/>
        </w:rPr>
        <w:t xml:space="preserve"> Stammanteile vertreten;</w:t>
      </w:r>
    </w:p>
    <w:p w14:paraId="7EED26D4" w14:textId="77777777" w:rsidR="00EF455C" w:rsidRDefault="00EF455C" w:rsidP="00EF455C">
      <w:pPr>
        <w:keepLines/>
        <w:rPr>
          <w:rFonts w:ascii="Arial" w:hAnsi="Arial" w:cs="Arial"/>
          <w:sz w:val="21"/>
          <w:szCs w:val="21"/>
        </w:rPr>
      </w:pPr>
    </w:p>
    <w:p w14:paraId="6AF784FB" w14:textId="77777777" w:rsidR="00EF455C" w:rsidRDefault="00EF455C" w:rsidP="00EF455C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dass die heutige Gesellschafterversammlung im Sinne von Art. 805 Abs. 3 und 5 Ziffer 5 </w:t>
      </w:r>
      <w:proofErr w:type="spellStart"/>
      <w:r>
        <w:rPr>
          <w:rFonts w:ascii="Arial" w:hAnsi="Arial" w:cs="Arial"/>
          <w:sz w:val="21"/>
          <w:szCs w:val="21"/>
        </w:rPr>
        <w:t>i.V.m</w:t>
      </w:r>
      <w:proofErr w:type="spellEnd"/>
      <w:r>
        <w:rPr>
          <w:rFonts w:ascii="Arial" w:hAnsi="Arial" w:cs="Arial"/>
          <w:sz w:val="21"/>
          <w:szCs w:val="21"/>
        </w:rPr>
        <w:t>. Art 701 OR als Universalversammlung abgehalten wird;</w:t>
      </w:r>
      <w:r>
        <w:rPr>
          <w:rFonts w:ascii="Arial" w:hAnsi="Arial" w:cs="Arial"/>
          <w:sz w:val="21"/>
          <w:szCs w:val="21"/>
        </w:rPr>
        <w:br/>
      </w:r>
    </w:p>
    <w:p w14:paraId="34B575AA" w14:textId="77777777" w:rsidR="00EF455C" w:rsidRDefault="00EF455C" w:rsidP="00EF455C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dass Beschlussfähigkeit vorliegt.</w:t>
      </w:r>
    </w:p>
    <w:p w14:paraId="306FC490" w14:textId="77777777" w:rsidR="00EF455C" w:rsidRPr="002F53FB" w:rsidRDefault="00EF455C" w:rsidP="00EF455C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Gegen diese Feststellungen werden keine Einwendungen erhoben.</w:t>
      </w:r>
    </w:p>
    <w:p w14:paraId="4AD49EEE" w14:textId="77777777" w:rsidR="00EF455C" w:rsidRPr="002F53FB" w:rsidRDefault="00EF455C" w:rsidP="00EF455C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59E1E966" w14:textId="77777777" w:rsidR="00EF455C" w:rsidRPr="002F53FB" w:rsidRDefault="00EF455C" w:rsidP="00EF455C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4AC3DF32" w14:textId="77777777" w:rsidR="00EF455C" w:rsidRDefault="00EF455C" w:rsidP="00EF455C">
      <w:pPr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 xml:space="preserve">- 2 </w:t>
      </w:r>
      <w:r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br/>
      </w:r>
    </w:p>
    <w:p w14:paraId="575665A4" w14:textId="77777777" w:rsidR="00EF455C" w:rsidRPr="00DB2C84" w:rsidRDefault="00EF455C" w:rsidP="00EF455C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 xml:space="preserve">Die </w:t>
      </w:r>
      <w:r>
        <w:rPr>
          <w:rFonts w:ascii="Arial" w:hAnsi="Arial" w:cs="Arial"/>
          <w:sz w:val="21"/>
          <w:szCs w:val="21"/>
        </w:rPr>
        <w:t>Gesellschafterversammlung</w:t>
      </w:r>
      <w:r w:rsidRPr="002F53FB">
        <w:rPr>
          <w:rFonts w:ascii="Arial" w:hAnsi="Arial" w:cs="Arial"/>
          <w:sz w:val="21"/>
          <w:szCs w:val="21"/>
        </w:rPr>
        <w:t xml:space="preserve"> beschliesst einstimmig</w:t>
      </w:r>
      <w:r>
        <w:rPr>
          <w:rFonts w:ascii="Arial" w:hAnsi="Arial" w:cs="Arial"/>
          <w:sz w:val="21"/>
          <w:szCs w:val="21"/>
        </w:rPr>
        <w:t xml:space="preserve"> eine Erhöhung des Stammkapitals um CHF 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auf neu CHF 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und legt folgendes fest:</w:t>
      </w:r>
      <w:r w:rsidRPr="002F53FB">
        <w:rPr>
          <w:rFonts w:ascii="Arial" w:hAnsi="Arial" w:cs="Arial"/>
          <w:sz w:val="21"/>
          <w:szCs w:val="21"/>
        </w:rPr>
        <w:br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9279"/>
      </w:tblGrid>
      <w:tr w:rsidR="00EF455C" w:rsidRPr="00DB2C84" w14:paraId="524977E9" w14:textId="77777777" w:rsidTr="00D64732">
        <w:tc>
          <w:tcPr>
            <w:tcW w:w="360" w:type="dxa"/>
          </w:tcPr>
          <w:p w14:paraId="288634AC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</w:tcPr>
          <w:p w14:paraId="3F9F7A22" w14:textId="77777777" w:rsidR="00EF455C" w:rsidRDefault="00EF455C" w:rsidP="00D64732">
            <w:pPr>
              <w:tabs>
                <w:tab w:val="left" w:pos="349"/>
              </w:tabs>
              <w:rPr>
                <w:rFonts w:ascii="Arial" w:hAnsi="Arial" w:cs="Arial"/>
                <w:sz w:val="21"/>
                <w:szCs w:val="21"/>
              </w:rPr>
            </w:pPr>
            <w:r w:rsidRPr="00EF455C">
              <w:rPr>
                <w:rFonts w:ascii="Arial" w:hAnsi="Arial" w:cs="Arial"/>
                <w:sz w:val="21"/>
                <w:szCs w:val="21"/>
                <w:highlight w:val="lightGray"/>
              </w:rPr>
              <w:t>[Gesamter/Maximaler]</w:t>
            </w:r>
            <w:r w:rsidRPr="00DB2C84">
              <w:rPr>
                <w:rFonts w:ascii="Arial" w:hAnsi="Arial" w:cs="Arial"/>
                <w:sz w:val="21"/>
                <w:szCs w:val="21"/>
              </w:rPr>
              <w:t xml:space="preserve"> Nennbetrag, um den das </w:t>
            </w:r>
            <w:r>
              <w:rPr>
                <w:rFonts w:ascii="Arial" w:hAnsi="Arial" w:cs="Arial"/>
                <w:sz w:val="21"/>
                <w:szCs w:val="21"/>
              </w:rPr>
              <w:t>Stammkapital</w:t>
            </w:r>
            <w:r w:rsidRPr="00DB2C84">
              <w:rPr>
                <w:rFonts w:ascii="Arial" w:hAnsi="Arial" w:cs="Arial"/>
                <w:sz w:val="21"/>
                <w:szCs w:val="21"/>
              </w:rPr>
              <w:t xml:space="preserve"> erhöht werden soll: CHF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DB2C84">
              <w:rPr>
                <w:rFonts w:ascii="Arial" w:hAnsi="Arial" w:cs="Arial"/>
                <w:sz w:val="21"/>
                <w:szCs w:val="21"/>
              </w:rPr>
              <w:t xml:space="preserve">Betrag der darauf zu leistenden Einlagen: CHF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(100%).</w:t>
            </w:r>
          </w:p>
          <w:p w14:paraId="641D4769" w14:textId="77777777" w:rsidR="00EF455C" w:rsidRPr="00DB2C84" w:rsidRDefault="00EF455C" w:rsidP="00D64732">
            <w:pPr>
              <w:tabs>
                <w:tab w:val="left" w:pos="349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455C" w:rsidRPr="00DB2C84" w14:paraId="7E034F57" w14:textId="77777777" w:rsidTr="00D64732">
        <w:tc>
          <w:tcPr>
            <w:tcW w:w="360" w:type="dxa"/>
          </w:tcPr>
          <w:p w14:paraId="678A0DA5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lastRenderedPageBreak/>
              <w:t>2.</w:t>
            </w:r>
          </w:p>
        </w:tc>
        <w:tc>
          <w:tcPr>
            <w:tcW w:w="0" w:type="auto"/>
          </w:tcPr>
          <w:p w14:paraId="363A5147" w14:textId="77777777" w:rsidR="00EF455C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 w:rsidRPr="00EF455C">
              <w:rPr>
                <w:rFonts w:ascii="Arial" w:hAnsi="Arial" w:cs="Arial"/>
                <w:sz w:val="21"/>
                <w:szCs w:val="21"/>
                <w:highlight w:val="lightGray"/>
              </w:rPr>
              <w:t>[Anzahl/Maximale Anzahl]</w:t>
            </w:r>
            <w:r>
              <w:rPr>
                <w:rFonts w:ascii="Arial" w:hAnsi="Arial" w:cs="Arial"/>
                <w:sz w:val="21"/>
                <w:szCs w:val="21"/>
              </w:rPr>
              <w:t xml:space="preserve"> und </w:t>
            </w:r>
            <w:r w:rsidRPr="00DB2C84">
              <w:rPr>
                <w:rFonts w:ascii="Arial" w:hAnsi="Arial" w:cs="Arial"/>
                <w:sz w:val="21"/>
                <w:szCs w:val="21"/>
              </w:rPr>
              <w:t xml:space="preserve">Nennwert </w:t>
            </w:r>
            <w:r>
              <w:rPr>
                <w:rFonts w:ascii="Arial" w:hAnsi="Arial" w:cs="Arial"/>
                <w:sz w:val="21"/>
                <w:szCs w:val="21"/>
              </w:rPr>
              <w:t>der</w:t>
            </w:r>
            <w:r w:rsidRPr="00DB2C84">
              <w:rPr>
                <w:rFonts w:ascii="Arial" w:hAnsi="Arial" w:cs="Arial"/>
                <w:sz w:val="21"/>
                <w:szCs w:val="21"/>
              </w:rPr>
              <w:t xml:space="preserve"> neu auszugebenden </w:t>
            </w:r>
            <w:r>
              <w:rPr>
                <w:rFonts w:ascii="Arial" w:hAnsi="Arial" w:cs="Arial"/>
                <w:sz w:val="21"/>
                <w:szCs w:val="21"/>
              </w:rPr>
              <w:t>Stammanteile</w:t>
            </w:r>
            <w:r w:rsidRPr="00DB2C84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Stammanteile zu CHF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764CDE91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t xml:space="preserve">Vorrechte einzelner Kategorien: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DB2C84">
              <w:rPr>
                <w:rFonts w:ascii="Arial" w:hAnsi="Arial" w:cs="Arial"/>
                <w:sz w:val="21"/>
                <w:szCs w:val="21"/>
              </w:rPr>
              <w:br/>
            </w:r>
          </w:p>
        </w:tc>
      </w:tr>
      <w:tr w:rsidR="00EF455C" w:rsidRPr="00DB2C84" w14:paraId="5BC381EB" w14:textId="77777777" w:rsidTr="00D64732">
        <w:tc>
          <w:tcPr>
            <w:tcW w:w="360" w:type="dxa"/>
          </w:tcPr>
          <w:p w14:paraId="6007C7BF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</w:tcPr>
          <w:p w14:paraId="2586D011" w14:textId="77777777" w:rsidR="00EF455C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Ausgabebetrag: C</w:t>
            </w:r>
            <w:r w:rsidRPr="00DB2C84">
              <w:rPr>
                <w:rFonts w:ascii="Arial" w:hAnsi="Arial" w:cs="Arial"/>
                <w:sz w:val="21"/>
                <w:szCs w:val="21"/>
              </w:rPr>
              <w:t xml:space="preserve">HF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je Stammanteil, gesamthaft CHF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3FE8E24F" w14:textId="77777777" w:rsidR="00EF455C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</w:p>
          <w:p w14:paraId="643ECB23" w14:textId="77777777" w:rsidR="00EF455C" w:rsidRPr="001E2EC9" w:rsidRDefault="00EF455C" w:rsidP="00D64732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b/>
                <w:i/>
                <w:sz w:val="21"/>
                <w:szCs w:val="21"/>
              </w:rPr>
              <w:t>Variante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:</w:t>
            </w:r>
          </w:p>
          <w:p w14:paraId="5803E0C5" w14:textId="77777777" w:rsidR="00EF455C" w:rsidRPr="001E2EC9" w:rsidRDefault="00EF455C" w:rsidP="00D64732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[Ausgabebetrag: </w:t>
            </w:r>
            <w:r>
              <w:rPr>
                <w:rFonts w:ascii="Arial" w:hAnsi="Arial" w:cs="Arial"/>
                <w:i/>
                <w:sz w:val="21"/>
                <w:szCs w:val="21"/>
              </w:rPr>
              <w:t>Die Geschäftsführung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 wird ermächtigt den Ausgabebetrag festzusetzen.]</w:t>
            </w:r>
          </w:p>
          <w:p w14:paraId="27D2C45A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br/>
              <w:t xml:space="preserve">Beginn der Dividendenberechtigung: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DB2C84">
              <w:rPr>
                <w:rFonts w:ascii="Arial" w:hAnsi="Arial" w:cs="Arial"/>
                <w:sz w:val="21"/>
                <w:szCs w:val="21"/>
              </w:rPr>
              <w:br/>
            </w:r>
          </w:p>
        </w:tc>
      </w:tr>
      <w:tr w:rsidR="00EF455C" w:rsidRPr="00DB2C84" w14:paraId="59CD339E" w14:textId="77777777" w:rsidTr="00D64732">
        <w:tc>
          <w:tcPr>
            <w:tcW w:w="360" w:type="dxa"/>
          </w:tcPr>
          <w:p w14:paraId="765BEA50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</w:tcPr>
          <w:p w14:paraId="3F38E604" w14:textId="77777777" w:rsidR="00EF455C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Qualifizierte Tatbestände:</w:t>
            </w:r>
          </w:p>
          <w:p w14:paraId="04DCF11D" w14:textId="77777777" w:rsidR="00EF455C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</w:p>
          <w:p w14:paraId="2B1A87DB" w14:textId="77777777" w:rsidR="00EF455C" w:rsidRPr="001E2EC9" w:rsidRDefault="00EF455C" w:rsidP="00D64732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b/>
                <w:i/>
                <w:sz w:val="21"/>
                <w:szCs w:val="21"/>
              </w:rPr>
              <w:t>Variante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:</w:t>
            </w:r>
          </w:p>
          <w:p w14:paraId="33DA9761" w14:textId="77777777" w:rsidR="00EF455C" w:rsidRPr="001E2EC9" w:rsidRDefault="00EF455C" w:rsidP="00D64732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i/>
                <w:sz w:val="21"/>
                <w:szCs w:val="21"/>
              </w:rPr>
              <w:t>[</w:t>
            </w:r>
            <w:r>
              <w:rPr>
                <w:rFonts w:ascii="Arial" w:hAnsi="Arial" w:cs="Arial"/>
                <w:i/>
                <w:sz w:val="21"/>
                <w:szCs w:val="21"/>
              </w:rPr>
              <w:t>Die Einlage erfolgt d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urch Sacheinlage von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im Wert von CHF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, wofür dem Sacheinleger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</w:t>
            </w:r>
            <w:proofErr w:type="gramStart"/>
            <w:r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proofErr w:type="gramEnd"/>
            <w:r>
              <w:rPr>
                <w:rFonts w:ascii="Arial" w:hAnsi="Arial" w:cs="Arial"/>
                <w:sz w:val="21"/>
                <w:szCs w:val="21"/>
                <w:highlight w:val="lightGray"/>
              </w:rPr>
              <w:t>…]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 neue </w:t>
            </w:r>
            <w:r>
              <w:rPr>
                <w:rFonts w:ascii="Arial" w:hAnsi="Arial" w:cs="Arial"/>
                <w:i/>
                <w:sz w:val="21"/>
                <w:szCs w:val="21"/>
              </w:rPr>
              <w:t>Stammanteile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 zu CHF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 zukommen.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Weitere Gegenleistung für die Sacheinlage: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>]</w:t>
            </w:r>
          </w:p>
          <w:p w14:paraId="63EE2E44" w14:textId="77777777" w:rsidR="00EF455C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71D23A" w14:textId="77777777" w:rsidR="00EF455C" w:rsidRPr="001E2EC9" w:rsidRDefault="00EF455C" w:rsidP="00D64732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b/>
                <w:i/>
                <w:sz w:val="21"/>
                <w:szCs w:val="21"/>
              </w:rPr>
              <w:t>Variante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:</w:t>
            </w:r>
          </w:p>
          <w:p w14:paraId="009AC7A7" w14:textId="77777777" w:rsidR="00EF455C" w:rsidRDefault="00EF455C" w:rsidP="00D64732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i/>
                <w:sz w:val="21"/>
                <w:szCs w:val="21"/>
              </w:rPr>
              <w:t>[</w:t>
            </w:r>
            <w:r>
              <w:rPr>
                <w:rFonts w:ascii="Arial" w:hAnsi="Arial" w:cs="Arial"/>
                <w:i/>
                <w:sz w:val="21"/>
                <w:szCs w:val="21"/>
              </w:rPr>
              <w:t>Die Einlage erfolgt d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urch Verrechnung mit verrechenbaren Forderungen 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im Betrag von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>gegenüber der Gesellschaft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, wofür dem Gläubiger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</w:t>
            </w:r>
            <w:proofErr w:type="gramStart"/>
            <w:r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  <w:r>
              <w:rPr>
                <w:rFonts w:ascii="Arial" w:hAnsi="Arial" w:cs="Arial"/>
                <w:i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proofErr w:type="gramEnd"/>
            <w:r>
              <w:rPr>
                <w:rFonts w:ascii="Arial" w:hAnsi="Arial" w:cs="Arial"/>
                <w:sz w:val="21"/>
                <w:szCs w:val="21"/>
                <w:highlight w:val="lightGray"/>
              </w:rPr>
              <w:t>…]</w:t>
            </w:r>
            <w:r>
              <w:rPr>
                <w:rFonts w:ascii="Arial" w:hAnsi="Arial" w:cs="Arial"/>
                <w:i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sz w:val="21"/>
                <w:szCs w:val="21"/>
              </w:rPr>
              <w:t>Stammanteile zu CHF 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zukommen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>.]</w:t>
            </w:r>
          </w:p>
          <w:p w14:paraId="4CE9F735" w14:textId="77777777" w:rsidR="00EF455C" w:rsidRDefault="00EF455C" w:rsidP="00D64732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46BD862B" w14:textId="77777777" w:rsidR="00EF455C" w:rsidRPr="001E2EC9" w:rsidRDefault="00EF455C" w:rsidP="00D64732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b/>
                <w:i/>
                <w:sz w:val="21"/>
                <w:szCs w:val="21"/>
              </w:rPr>
              <w:t>Variante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:</w:t>
            </w:r>
          </w:p>
          <w:p w14:paraId="6FD103B9" w14:textId="77777777" w:rsidR="00EF455C" w:rsidRPr="001E2EC9" w:rsidRDefault="00EF455C" w:rsidP="00D64732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i/>
                <w:sz w:val="21"/>
                <w:szCs w:val="21"/>
              </w:rPr>
              <w:t>[</w:t>
            </w:r>
            <w:r>
              <w:rPr>
                <w:rFonts w:ascii="Arial" w:hAnsi="Arial" w:cs="Arial"/>
                <w:i/>
                <w:sz w:val="21"/>
                <w:szCs w:val="21"/>
              </w:rPr>
              <w:t>Die Einlage erfolgt d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urch 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Umwandlung von frei verwendbarem Eigenkapital für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Stammanteile zu CHF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i/>
                <w:sz w:val="21"/>
                <w:szCs w:val="21"/>
              </w:rPr>
              <w:t>.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>]</w:t>
            </w:r>
          </w:p>
          <w:p w14:paraId="4088C3D2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455C" w:rsidRPr="00DB2C84" w14:paraId="1F3FADA2" w14:textId="77777777" w:rsidTr="00D64732">
        <w:tc>
          <w:tcPr>
            <w:tcW w:w="360" w:type="dxa"/>
          </w:tcPr>
          <w:p w14:paraId="3042168E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DB2C8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0" w:type="auto"/>
          </w:tcPr>
          <w:p w14:paraId="72681D79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Besondere Vorteile: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</w:tc>
      </w:tr>
      <w:tr w:rsidR="00EF455C" w:rsidRPr="00DB2C84" w14:paraId="1BC4F218" w14:textId="77777777" w:rsidTr="00D64732">
        <w:tc>
          <w:tcPr>
            <w:tcW w:w="360" w:type="dxa"/>
          </w:tcPr>
          <w:p w14:paraId="68F4F14C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17D9DB76" w14:textId="77777777" w:rsidR="00EF455C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455C" w:rsidRPr="008A0E0A" w14:paraId="6A15D46B" w14:textId="77777777" w:rsidTr="00D64732">
        <w:tc>
          <w:tcPr>
            <w:tcW w:w="360" w:type="dxa"/>
          </w:tcPr>
          <w:p w14:paraId="6D884D58" w14:textId="77777777" w:rsidR="00EF455C" w:rsidRPr="008A0E0A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 w:rsidRPr="008A0E0A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</w:tcPr>
          <w:p w14:paraId="210C25E0" w14:textId="6B5FC5A9" w:rsidR="00EF455C" w:rsidRPr="008A0E0A" w:rsidRDefault="00EF455C" w:rsidP="00D64732">
            <w:pPr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8A0E0A">
              <w:rPr>
                <w:rFonts w:ascii="Arial" w:hAnsi="Arial" w:cs="Arial"/>
                <w:sz w:val="21"/>
                <w:szCs w:val="21"/>
              </w:rPr>
              <w:t>Vom Gesetz abweichende Regelung der Zustimmungserfordernisse für die Übertragung der Stammanteile: […]</w:t>
            </w:r>
            <w:r w:rsidRPr="008A0E0A">
              <w:rPr>
                <w:rFonts w:ascii="Arial" w:hAnsi="Arial" w:cs="Arial"/>
                <w:i/>
                <w:sz w:val="21"/>
                <w:szCs w:val="21"/>
              </w:rPr>
              <w:t>.</w:t>
            </w:r>
            <w:r w:rsidR="00B82E9F" w:rsidRPr="008A0E0A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EF455C" w:rsidRPr="008A0E0A" w14:paraId="3AF9EB96" w14:textId="77777777" w:rsidTr="00D64732">
        <w:tc>
          <w:tcPr>
            <w:tcW w:w="360" w:type="dxa"/>
          </w:tcPr>
          <w:p w14:paraId="6283091A" w14:textId="77777777" w:rsidR="00EF455C" w:rsidRPr="008A0E0A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58010A6D" w14:textId="77777777" w:rsidR="00EF455C" w:rsidRPr="008A0E0A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455C" w:rsidRPr="00DB2C84" w14:paraId="0707298F" w14:textId="77777777" w:rsidTr="00D64732">
        <w:tc>
          <w:tcPr>
            <w:tcW w:w="360" w:type="dxa"/>
          </w:tcPr>
          <w:p w14:paraId="20CFBA3A" w14:textId="77777777" w:rsidR="00EF455C" w:rsidRPr="008A0E0A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 w:rsidRPr="008A0E0A"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</w:tcPr>
          <w:p w14:paraId="5C2809A7" w14:textId="476CBA44" w:rsidR="00EF455C" w:rsidRPr="008A0E0A" w:rsidRDefault="00EF455C" w:rsidP="008A0E0A">
            <w:pPr>
              <w:rPr>
                <w:rFonts w:ascii="Arial" w:hAnsi="Arial" w:cs="Arial"/>
                <w:sz w:val="21"/>
                <w:szCs w:val="21"/>
              </w:rPr>
            </w:pPr>
            <w:r w:rsidRPr="008A0E0A">
              <w:rPr>
                <w:rFonts w:ascii="Arial" w:hAnsi="Arial" w:cs="Arial"/>
                <w:sz w:val="21"/>
                <w:szCs w:val="21"/>
              </w:rPr>
              <w:t xml:space="preserve">Mit den neu auszugebenden Stammanteilen verbundene Nachschuss- oder Nebenleistungspflichten unter Einschluss statutarischer Vorhand-, Vorkaufs- oder </w:t>
            </w:r>
            <w:proofErr w:type="spellStart"/>
            <w:r w:rsidRPr="008A0E0A">
              <w:rPr>
                <w:rFonts w:ascii="Arial" w:hAnsi="Arial" w:cs="Arial"/>
                <w:sz w:val="21"/>
                <w:szCs w:val="21"/>
              </w:rPr>
              <w:t>Kaufsrechte</w:t>
            </w:r>
            <w:proofErr w:type="spellEnd"/>
            <w:r w:rsidRPr="008A0E0A">
              <w:rPr>
                <w:rFonts w:ascii="Arial" w:hAnsi="Arial" w:cs="Arial"/>
                <w:sz w:val="21"/>
                <w:szCs w:val="21"/>
              </w:rPr>
              <w:t>: […]</w:t>
            </w:r>
            <w:r w:rsidR="008A0E0A" w:rsidRPr="008A0E0A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EF455C" w:rsidRPr="00DB2C84" w14:paraId="42DD7217" w14:textId="77777777" w:rsidTr="00D64732">
        <w:tc>
          <w:tcPr>
            <w:tcW w:w="360" w:type="dxa"/>
          </w:tcPr>
          <w:p w14:paraId="38D1F6EA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14:paraId="69FA500A" w14:textId="77777777" w:rsidR="00EF455C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455C" w:rsidRPr="00DB2C84" w14:paraId="0A67D8EC" w14:textId="77777777" w:rsidTr="00D64732">
        <w:tc>
          <w:tcPr>
            <w:tcW w:w="360" w:type="dxa"/>
          </w:tcPr>
          <w:p w14:paraId="446EA9C2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DB2C8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0" w:type="auto"/>
          </w:tcPr>
          <w:p w14:paraId="6473434D" w14:textId="77777777" w:rsidR="00EF455C" w:rsidRPr="005456F6" w:rsidRDefault="00EF455C" w:rsidP="00D64732">
            <w:pPr>
              <w:tabs>
                <w:tab w:val="left" w:pos="851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Einschränkung oder Aufhebung des Bezugsrechts und die Folgen, wenn dieses nicht ausgeübt oder entzogen wird: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4E9DA48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455C" w:rsidRPr="00DB2C84" w14:paraId="7F30D97C" w14:textId="77777777" w:rsidTr="00D64732">
        <w:tc>
          <w:tcPr>
            <w:tcW w:w="360" w:type="dxa"/>
          </w:tcPr>
          <w:p w14:paraId="4CF98444" w14:textId="77777777" w:rsidR="00EF455C" w:rsidRPr="00DB2C84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</w:tcPr>
          <w:p w14:paraId="1B53F6D4" w14:textId="77777777" w:rsidR="00EF455C" w:rsidRDefault="00EF455C" w:rsidP="00D6473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Voraussetzungen für die Ausübung vertraglich erworbener Bezugsrechte</w:t>
            </w:r>
            <w:r w:rsidRPr="00D745F2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10146C47" w14:textId="77777777" w:rsidR="00EF455C" w:rsidRDefault="00EF455C" w:rsidP="00EF455C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7A8A8794" w14:textId="77777777" w:rsidR="00EF455C" w:rsidRDefault="00EF455C" w:rsidP="00EF455C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2F8023EA" w14:textId="77777777" w:rsidR="00EF455C" w:rsidRPr="002F53FB" w:rsidRDefault="00EF455C" w:rsidP="00EF455C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- 3 -</w:t>
      </w:r>
      <w:r w:rsidRPr="002F53FB">
        <w:rPr>
          <w:rFonts w:ascii="Arial" w:hAnsi="Arial" w:cs="Arial"/>
          <w:sz w:val="21"/>
          <w:szCs w:val="21"/>
        </w:rPr>
        <w:br/>
      </w:r>
    </w:p>
    <w:p w14:paraId="61EE9841" w14:textId="77777777" w:rsidR="00EF455C" w:rsidRPr="00846209" w:rsidRDefault="00EF455C" w:rsidP="00EF455C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846209">
        <w:rPr>
          <w:rFonts w:ascii="Arial" w:hAnsi="Arial" w:cs="Arial"/>
          <w:sz w:val="21"/>
          <w:szCs w:val="21"/>
        </w:rPr>
        <w:t>Die Ausführung dieses Kapitalerhöhungsbeschluss</w:t>
      </w:r>
      <w:r>
        <w:rPr>
          <w:rFonts w:ascii="Arial" w:hAnsi="Arial" w:cs="Arial"/>
          <w:sz w:val="21"/>
          <w:szCs w:val="21"/>
        </w:rPr>
        <w:t>es obliegt den Geschäftsführern</w:t>
      </w:r>
      <w:r w:rsidRPr="00846209">
        <w:rPr>
          <w:rFonts w:ascii="Arial" w:hAnsi="Arial" w:cs="Arial"/>
          <w:sz w:val="21"/>
          <w:szCs w:val="21"/>
        </w:rPr>
        <w:t>.</w:t>
      </w:r>
    </w:p>
    <w:p w14:paraId="1953E40F" w14:textId="77777777" w:rsidR="00EF455C" w:rsidRPr="00846209" w:rsidRDefault="00EF455C" w:rsidP="00EF455C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</w:p>
    <w:p w14:paraId="4260E33F" w14:textId="77777777" w:rsidR="00EF455C" w:rsidRPr="00846209" w:rsidRDefault="00EF455C" w:rsidP="00EF455C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846209">
        <w:rPr>
          <w:rFonts w:ascii="Arial" w:hAnsi="Arial" w:cs="Arial"/>
          <w:sz w:val="21"/>
          <w:szCs w:val="21"/>
        </w:rPr>
        <w:t xml:space="preserve">Die Erhöhung des Stammkapitals muss innerhalb von </w:t>
      </w:r>
      <w:r>
        <w:rPr>
          <w:rFonts w:ascii="Arial" w:hAnsi="Arial" w:cs="Arial"/>
          <w:sz w:val="21"/>
          <w:szCs w:val="21"/>
        </w:rPr>
        <w:t>sechs</w:t>
      </w:r>
      <w:r w:rsidRPr="00846209">
        <w:rPr>
          <w:rFonts w:ascii="Arial" w:hAnsi="Arial" w:cs="Arial"/>
          <w:sz w:val="21"/>
          <w:szCs w:val="21"/>
        </w:rPr>
        <w:t xml:space="preserve"> Monaten nach dem Beschluss der Gesellschafterversammlung beim Handelsregister zur Eintragung angemeldet werden; sonst fällt </w:t>
      </w:r>
      <w:r>
        <w:rPr>
          <w:rFonts w:ascii="Arial" w:hAnsi="Arial" w:cs="Arial"/>
          <w:sz w:val="21"/>
          <w:szCs w:val="21"/>
        </w:rPr>
        <w:t>der Beschluss dahin</w:t>
      </w:r>
      <w:r w:rsidRPr="00846209">
        <w:rPr>
          <w:rFonts w:ascii="Arial" w:hAnsi="Arial" w:cs="Arial"/>
          <w:sz w:val="21"/>
          <w:szCs w:val="21"/>
        </w:rPr>
        <w:t>.</w:t>
      </w:r>
    </w:p>
    <w:p w14:paraId="19FAD2E3" w14:textId="77777777" w:rsidR="00EF455C" w:rsidRDefault="00EF455C" w:rsidP="00EF455C">
      <w:pPr>
        <w:keepLines/>
        <w:rPr>
          <w:rFonts w:ascii="Arial" w:hAnsi="Arial" w:cs="Arial"/>
          <w:sz w:val="21"/>
          <w:szCs w:val="21"/>
        </w:rPr>
      </w:pPr>
    </w:p>
    <w:p w14:paraId="329393BC" w14:textId="77777777" w:rsidR="005E53A2" w:rsidRDefault="005E53A2" w:rsidP="005E53A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[Der/Die]</w:t>
      </w:r>
      <w:r>
        <w:rPr>
          <w:rFonts w:ascii="Arial" w:hAnsi="Arial" w:cs="Arial"/>
          <w:sz w:val="21"/>
          <w:szCs w:val="21"/>
        </w:rPr>
        <w:t xml:space="preserve"> </w:t>
      </w:r>
      <w:r w:rsidRPr="00BC6E33">
        <w:rPr>
          <w:rFonts w:ascii="Arial" w:hAnsi="Arial" w:cs="Arial"/>
          <w:sz w:val="21"/>
          <w:szCs w:val="21"/>
        </w:rPr>
        <w:t xml:space="preserve">Vorsitzende </w:t>
      </w:r>
      <w:proofErr w:type="spellStart"/>
      <w:r>
        <w:rPr>
          <w:rFonts w:ascii="Arial" w:hAnsi="Arial" w:cs="Arial"/>
          <w:sz w:val="21"/>
          <w:szCs w:val="21"/>
        </w:rPr>
        <w:t>schliesst</w:t>
      </w:r>
      <w:proofErr w:type="spellEnd"/>
      <w:r>
        <w:rPr>
          <w:rFonts w:ascii="Arial" w:hAnsi="Arial" w:cs="Arial"/>
          <w:sz w:val="21"/>
          <w:szCs w:val="21"/>
        </w:rPr>
        <w:t xml:space="preserve"> die Gesellschafterversammlung um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Uhr.</w:t>
      </w:r>
    </w:p>
    <w:p w14:paraId="467910A0" w14:textId="77777777" w:rsidR="00EF455C" w:rsidRPr="002F53FB" w:rsidRDefault="00EF455C" w:rsidP="00EF455C">
      <w:pPr>
        <w:keepLines/>
        <w:rPr>
          <w:rFonts w:ascii="Arial" w:hAnsi="Arial" w:cs="Arial"/>
          <w:sz w:val="21"/>
          <w:szCs w:val="21"/>
        </w:rPr>
      </w:pPr>
    </w:p>
    <w:p w14:paraId="2D7FB2E0" w14:textId="77777777" w:rsidR="00EF455C" w:rsidRPr="002F53FB" w:rsidRDefault="00EF455C" w:rsidP="00EF455C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- 4 -</w:t>
      </w:r>
      <w:r w:rsidRPr="002F53FB">
        <w:rPr>
          <w:rFonts w:ascii="Arial" w:hAnsi="Arial" w:cs="Arial"/>
          <w:sz w:val="21"/>
          <w:szCs w:val="21"/>
        </w:rPr>
        <w:br/>
      </w:r>
    </w:p>
    <w:p w14:paraId="16FE12AB" w14:textId="77777777" w:rsidR="00EF455C" w:rsidRDefault="00EF455C" w:rsidP="00EF455C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2C1EF50D" w14:textId="77777777" w:rsidR="00EF455C" w:rsidRDefault="00EF455C" w:rsidP="00EF455C">
      <w:pPr>
        <w:keepNext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vorliegende Urkunde wird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>fach ausgefertigt:</w:t>
      </w:r>
      <w:r>
        <w:rPr>
          <w:rFonts w:ascii="Arial" w:hAnsi="Arial" w:cs="Arial"/>
          <w:sz w:val="21"/>
          <w:szCs w:val="21"/>
        </w:rPr>
        <w:br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9"/>
        <w:gridCol w:w="3827"/>
      </w:tblGrid>
      <w:tr w:rsidR="00EF455C" w14:paraId="02F71A1C" w14:textId="77777777" w:rsidTr="00D64732"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14:paraId="3AABBFC7" w14:textId="77777777" w:rsidR="00EF455C" w:rsidRDefault="00EF455C" w:rsidP="00D64732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69E8F6C7" w14:textId="77777777" w:rsidR="00EF455C" w:rsidRDefault="00EF455C" w:rsidP="00D64732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14:paraId="2950270E" w14:textId="77777777" w:rsidR="00EF455C" w:rsidRDefault="00EF455C" w:rsidP="00D64732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Exemplar für das Handelsregister</w:t>
            </w:r>
          </w:p>
        </w:tc>
      </w:tr>
    </w:tbl>
    <w:p w14:paraId="5CB1455D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9"/>
        <w:gridCol w:w="3827"/>
      </w:tblGrid>
      <w:tr w:rsidR="00EF455C" w14:paraId="6C445D9E" w14:textId="77777777" w:rsidTr="00D64732"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14:paraId="17BEEC8A" w14:textId="77777777" w:rsidR="00EF455C" w:rsidRDefault="00EF455C" w:rsidP="00D64732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128515E5" w14:textId="77777777" w:rsidR="00EF455C" w:rsidRDefault="00EF455C" w:rsidP="00D64732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14:paraId="16A5A8AB" w14:textId="77777777" w:rsidR="00EF455C" w:rsidRDefault="00EF455C" w:rsidP="00D64732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Exemplar für die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Urkundsperson</w:t>
            </w:r>
            <w:proofErr w:type="spellEnd"/>
          </w:p>
        </w:tc>
      </w:tr>
    </w:tbl>
    <w:p w14:paraId="15C86AC4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9"/>
        <w:gridCol w:w="3827"/>
      </w:tblGrid>
      <w:tr w:rsidR="00EF455C" w14:paraId="0CFC7C54" w14:textId="77777777" w:rsidTr="00D64732"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14:paraId="44B49820" w14:textId="77777777" w:rsidR="00EF455C" w:rsidRDefault="00EF455C" w:rsidP="00D64732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5F3CE2EF" w14:textId="77777777" w:rsidR="00EF455C" w:rsidRDefault="00EF455C" w:rsidP="00D64732">
            <w:pPr>
              <w:keepNext/>
              <w:ind w:hanging="108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3827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14:paraId="3DDAC676" w14:textId="77777777" w:rsidR="00EF455C" w:rsidRDefault="00EF455C" w:rsidP="00D64732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Exemplar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für die Gesellschaft</w:t>
            </w:r>
          </w:p>
        </w:tc>
      </w:tr>
    </w:tbl>
    <w:p w14:paraId="4D3A65BA" w14:textId="77777777" w:rsidR="00EF455C" w:rsidRPr="002F53FB" w:rsidRDefault="00EF455C" w:rsidP="00EF455C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545D67C9" w14:textId="77777777" w:rsidR="00EF455C" w:rsidRPr="002F53FB" w:rsidRDefault="00EF455C" w:rsidP="00EF455C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1E637458" w14:textId="77777777" w:rsidR="00EF455C" w:rsidRPr="002F53FB" w:rsidRDefault="00EF455C" w:rsidP="00EF455C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- 5 -</w:t>
      </w:r>
      <w:r w:rsidRPr="002F53FB">
        <w:rPr>
          <w:rFonts w:ascii="Arial" w:hAnsi="Arial" w:cs="Arial"/>
          <w:sz w:val="21"/>
          <w:szCs w:val="21"/>
        </w:rPr>
        <w:br/>
      </w:r>
    </w:p>
    <w:p w14:paraId="68732424" w14:textId="77777777" w:rsidR="00EF455C" w:rsidRPr="002F53FB" w:rsidRDefault="00EF455C" w:rsidP="00EF455C">
      <w:pPr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Gesellschafterversammlung und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>
        <w:rPr>
          <w:rFonts w:ascii="Arial" w:hAnsi="Arial" w:cs="Arial"/>
          <w:sz w:val="21"/>
          <w:szCs w:val="21"/>
        </w:rPr>
        <w:t xml:space="preserve"> bestätigen, dass diese öffentliche Urkunde die Beschlüsse und Feststellungen der Gesellschafterversammlung enthält, ihr vorgelesen, von ihr als vollständig und richtig befunden und in Gegenwart der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>
        <w:rPr>
          <w:rFonts w:ascii="Arial" w:hAnsi="Arial" w:cs="Arial"/>
          <w:sz w:val="21"/>
          <w:szCs w:val="21"/>
        </w:rPr>
        <w:t xml:space="preserve"> unterzeichnet wurde.</w:t>
      </w:r>
      <w:r>
        <w:rPr>
          <w:rFonts w:ascii="Arial" w:hAnsi="Arial" w:cs="Arial"/>
          <w:sz w:val="21"/>
          <w:szCs w:val="21"/>
        </w:rPr>
        <w:br/>
      </w:r>
    </w:p>
    <w:p w14:paraId="243E608E" w14:textId="77777777" w:rsidR="00EF455C" w:rsidRDefault="00EF455C" w:rsidP="00EF455C">
      <w:pPr>
        <w:keepNext/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[Ort]</w:t>
      </w:r>
      <w:r>
        <w:rPr>
          <w:rFonts w:ascii="Arial" w:hAnsi="Arial" w:cs="Arial"/>
          <w:sz w:val="21"/>
          <w:szCs w:val="21"/>
        </w:rPr>
        <w:t xml:space="preserve">, den </w:t>
      </w:r>
      <w:r>
        <w:rPr>
          <w:rFonts w:ascii="Arial" w:hAnsi="Arial" w:cs="Arial"/>
          <w:sz w:val="21"/>
          <w:szCs w:val="21"/>
          <w:highlight w:val="lightGray"/>
        </w:rPr>
        <w:t>[Datum</w:t>
      </w:r>
      <w:proofErr w:type="gramStart"/>
      <w:r>
        <w:rPr>
          <w:rFonts w:ascii="Arial" w:hAnsi="Arial" w:cs="Arial"/>
          <w:sz w:val="21"/>
          <w:szCs w:val="21"/>
          <w:highlight w:val="lightGray"/>
        </w:rPr>
        <w:t>]</w:t>
      </w:r>
      <w:r>
        <w:rPr>
          <w:rFonts w:ascii="Arial" w:hAnsi="Arial" w:cs="Arial"/>
          <w:sz w:val="21"/>
          <w:szCs w:val="21"/>
        </w:rPr>
        <w:t xml:space="preserve">,   </w:t>
      </w:r>
      <w:proofErr w:type="gramEnd"/>
      <w:r>
        <w:rPr>
          <w:rFonts w:ascii="Arial" w:hAnsi="Arial" w:cs="Arial"/>
          <w:sz w:val="21"/>
          <w:szCs w:val="21"/>
        </w:rPr>
        <w:t xml:space="preserve">                 Uhr</w:t>
      </w:r>
    </w:p>
    <w:p w14:paraId="080AFB82" w14:textId="77777777" w:rsidR="00EF455C" w:rsidRPr="002F53FB" w:rsidRDefault="00EF455C" w:rsidP="00EF455C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</w:p>
    <w:p w14:paraId="285F6E7D" w14:textId="77777777" w:rsidR="00EF455C" w:rsidRDefault="00EF455C" w:rsidP="00EF455C">
      <w:pPr>
        <w:keepNext/>
        <w:keepLines/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Vorsitz:</w:t>
      </w:r>
      <w:r>
        <w:rPr>
          <w:rFonts w:ascii="Arial" w:hAnsi="Arial" w:cs="Arial"/>
          <w:sz w:val="21"/>
          <w:szCs w:val="21"/>
        </w:rPr>
        <w:tab/>
        <w:t>Protokoll:</w:t>
      </w:r>
    </w:p>
    <w:p w14:paraId="701E7717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</w:p>
    <w:p w14:paraId="5BCBAAB6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</w:p>
    <w:p w14:paraId="2F60DD9D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</w:p>
    <w:p w14:paraId="32228D2E" w14:textId="77777777" w:rsidR="00EF455C" w:rsidRPr="00E75044" w:rsidRDefault="00EF455C" w:rsidP="00EF455C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</w:t>
      </w:r>
      <w:r>
        <w:rPr>
          <w:rFonts w:ascii="Arial" w:hAnsi="Arial" w:cs="Arial"/>
          <w:sz w:val="21"/>
          <w:szCs w:val="21"/>
        </w:rPr>
        <w:tab/>
        <w:t>________________</w:t>
      </w:r>
    </w:p>
    <w:p w14:paraId="728ED993" w14:textId="77777777" w:rsidR="00EF455C" w:rsidRDefault="00EF455C" w:rsidP="00EF455C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</w:p>
    <w:p w14:paraId="6D3DE19F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</w:p>
    <w:p w14:paraId="7A058F76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</w:p>
    <w:p w14:paraId="425DA810" w14:textId="77777777" w:rsidR="00EF455C" w:rsidRDefault="00EF455C" w:rsidP="00EF455C">
      <w:pPr>
        <w:rPr>
          <w:rFonts w:ascii="Arial" w:hAnsi="Arial" w:cs="Arial"/>
          <w:sz w:val="21"/>
          <w:szCs w:val="21"/>
        </w:rPr>
      </w:pPr>
    </w:p>
    <w:p w14:paraId="1E0553F1" w14:textId="77777777" w:rsidR="00EF455C" w:rsidRPr="006025BE" w:rsidRDefault="00EF455C" w:rsidP="00EF455C">
      <w:pPr>
        <w:tabs>
          <w:tab w:val="left" w:pos="5670"/>
        </w:tabs>
        <w:rPr>
          <w:rFonts w:asciiTheme="majorHAnsi" w:hAnsiTheme="majorHAnsi" w:cstheme="majorHAnsi"/>
          <w:sz w:val="21"/>
          <w:szCs w:val="21"/>
        </w:rPr>
      </w:pPr>
      <w:r w:rsidRPr="00F92175">
        <w:rPr>
          <w:rFonts w:ascii="Arial" w:hAnsi="Arial" w:cs="Arial"/>
          <w:sz w:val="21"/>
          <w:szCs w:val="21"/>
          <w:highlight w:val="lightGray"/>
        </w:rPr>
        <w:t>[Öffentliche Beurkundung]</w:t>
      </w:r>
      <w:r w:rsidRPr="006025BE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4D720E21" w14:textId="77777777" w:rsidR="00EF455C" w:rsidRPr="004D17BE" w:rsidRDefault="00EF455C" w:rsidP="00EF455C">
      <w:pPr>
        <w:rPr>
          <w:rFonts w:ascii="Arial" w:hAnsi="Arial" w:cs="Arial"/>
          <w:sz w:val="21"/>
          <w:szCs w:val="21"/>
        </w:rPr>
      </w:pPr>
    </w:p>
    <w:p w14:paraId="2B94F011" w14:textId="77777777" w:rsidR="00EF455C" w:rsidRPr="009F7AA7" w:rsidRDefault="00EF455C" w:rsidP="00EF455C"/>
    <w:p w14:paraId="0BCA7B1E" w14:textId="77777777" w:rsidR="0061214B" w:rsidRPr="009F7AA7" w:rsidRDefault="0061214B" w:rsidP="009F7AA7"/>
    <w:sectPr w:rsidR="0061214B" w:rsidRPr="009F7AA7" w:rsidSect="00B2020D">
      <w:headerReference w:type="default" r:id="rId8"/>
      <w:footerReference w:type="default" r:id="rId9"/>
      <w:headerReference w:type="first" r:id="rId10"/>
      <w:pgSz w:w="11907" w:h="16840"/>
      <w:pgMar w:top="223" w:right="567" w:bottom="1701" w:left="1701" w:header="5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ED72" w14:textId="77777777" w:rsidR="008727BD" w:rsidRDefault="008727BD" w:rsidP="004F60AB">
      <w:r>
        <w:separator/>
      </w:r>
    </w:p>
  </w:endnote>
  <w:endnote w:type="continuationSeparator" w:id="0">
    <w:p w14:paraId="0AC6B148" w14:textId="77777777" w:rsidR="008727BD" w:rsidRDefault="008727BD" w:rsidP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C78C" w14:textId="275DD8F4" w:rsidR="00462307" w:rsidRPr="007E5FC3" w:rsidRDefault="00EF455C">
    <w:pPr>
      <w:pStyle w:val="Fuzeile"/>
      <w:jc w:val="right"/>
    </w:pP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PAGE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7A569A">
      <w:rPr>
        <w:rFonts w:ascii="Arial" w:hAnsi="Arial" w:cs="Arial"/>
        <w:sz w:val="21"/>
        <w:szCs w:val="21"/>
      </w:rPr>
      <w:t>4</w:t>
    </w:r>
    <w:r w:rsidRPr="007E5FC3">
      <w:rPr>
        <w:rFonts w:ascii="Arial" w:hAnsi="Arial" w:cs="Arial"/>
        <w:sz w:val="21"/>
        <w:szCs w:val="21"/>
      </w:rPr>
      <w:fldChar w:fldCharType="end"/>
    </w:r>
    <w:r w:rsidRPr="007E5FC3">
      <w:rPr>
        <w:rFonts w:ascii="Arial" w:hAnsi="Arial" w:cs="Arial"/>
        <w:sz w:val="21"/>
        <w:szCs w:val="21"/>
      </w:rPr>
      <w:t>/</w:t>
    </w: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NUMPAGES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7A569A">
      <w:rPr>
        <w:rFonts w:ascii="Arial" w:hAnsi="Arial" w:cs="Arial"/>
        <w:sz w:val="21"/>
        <w:szCs w:val="21"/>
      </w:rPr>
      <w:t>4</w:t>
    </w:r>
    <w:r w:rsidRPr="007E5FC3">
      <w:rPr>
        <w:rFonts w:ascii="Arial" w:hAnsi="Arial" w:cs="Arial"/>
        <w:sz w:val="21"/>
        <w:szCs w:val="21"/>
      </w:rPr>
      <w:fldChar w:fldCharType="end"/>
    </w:r>
  </w:p>
  <w:p w14:paraId="29552432" w14:textId="77777777" w:rsidR="00462307" w:rsidRDefault="007A56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89623" w14:textId="77777777" w:rsidR="008727BD" w:rsidRDefault="008727BD" w:rsidP="004F60AB">
      <w:r>
        <w:separator/>
      </w:r>
    </w:p>
  </w:footnote>
  <w:footnote w:type="continuationSeparator" w:id="0">
    <w:p w14:paraId="739BE0D3" w14:textId="77777777" w:rsidR="008727BD" w:rsidRDefault="008727BD" w:rsidP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F341E" w14:textId="77777777" w:rsidR="00462307" w:rsidRPr="00333C5B" w:rsidRDefault="00EF455C" w:rsidP="00DC696C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w:drawing>
        <wp:anchor distT="0" distB="226314" distL="126492" distR="126492" simplePos="0" relativeHeight="251659264" behindDoc="0" locked="0" layoutInCell="1" allowOverlap="1" wp14:anchorId="0839BB58" wp14:editId="29D4C15D">
          <wp:simplePos x="0" y="0"/>
          <wp:positionH relativeFrom="margin">
            <wp:posOffset>5549392</wp:posOffset>
          </wp:positionH>
          <wp:positionV relativeFrom="margin">
            <wp:posOffset>-3546475</wp:posOffset>
          </wp:positionV>
          <wp:extent cx="456946" cy="742696"/>
          <wp:effectExtent l="19050" t="0" r="19685" b="248285"/>
          <wp:wrapSquare wrapText="bothSides"/>
          <wp:docPr id="47" name="Grafik 47" descr="KSG_GR_source_cover_A4_1011182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 46" descr="KSG_GR_source_cover_A4_10111820.jpg"/>
                  <pic:cNvPicPr>
                    <a:picLocks noChangeAspect="1"/>
                  </pic:cNvPicPr>
                </pic:nvPicPr>
                <pic:blipFill>
                  <a:blip r:embed="rId1"/>
                  <a:srcRect l="88738" t="3161" r="4342" b="88937"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7423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1"/>
        <w:szCs w:val="21"/>
      </w:rPr>
      <w:tab/>
    </w:r>
    <w:r w:rsidRPr="00DC696C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620ACE92" wp14:editId="53A3A34F">
          <wp:extent cx="465455" cy="592455"/>
          <wp:effectExtent l="0" t="0" r="0" b="0"/>
          <wp:docPr id="2" name="Grafik 2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BF1999" w14:textId="77777777" w:rsidR="00462307" w:rsidRPr="00F4259E" w:rsidRDefault="007A569A" w:rsidP="00F5304C">
    <w:pPr>
      <w:pStyle w:val="Kopfzeile"/>
      <w:spacing w:after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F68DC" w14:textId="77777777" w:rsidR="00462307" w:rsidRPr="00333C5B" w:rsidRDefault="00EF455C" w:rsidP="00CE70B9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BCF999" wp14:editId="37C02BA3">
              <wp:simplePos x="0" y="0"/>
              <wp:positionH relativeFrom="column">
                <wp:posOffset>-128270</wp:posOffset>
              </wp:positionH>
              <wp:positionV relativeFrom="paragraph">
                <wp:posOffset>-14605</wp:posOffset>
              </wp:positionV>
              <wp:extent cx="2876550" cy="9715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09C4B" w14:textId="77777777" w:rsidR="00462307" w:rsidRPr="00CE70B9" w:rsidRDefault="00EF455C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Kanton St.</w:t>
                          </w: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Gallen</w:t>
                          </w:r>
                        </w:p>
                        <w:p w14:paraId="1358A438" w14:textId="77777777" w:rsidR="00462307" w:rsidRPr="00CE70B9" w:rsidRDefault="00EF455C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Departement des Innern</w:t>
                          </w:r>
                        </w:p>
                        <w:p w14:paraId="4AA0A9F2" w14:textId="77777777" w:rsidR="00462307" w:rsidRPr="00CE70B9" w:rsidRDefault="007A569A" w:rsidP="00CE70B9">
                          <w:pP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10A48C32" w14:textId="77777777" w:rsidR="00462307" w:rsidRPr="00CE70B9" w:rsidRDefault="00EF455C" w:rsidP="00CE70B9">
                          <w:pPr>
                            <w:outlineLvl w:val="0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Amt für Handelsregister und Notariate</w:t>
                          </w:r>
                        </w:p>
                        <w:p w14:paraId="13A3277E" w14:textId="77777777" w:rsidR="00462307" w:rsidRPr="00FA4A6A" w:rsidRDefault="007A569A" w:rsidP="00CE70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CF99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0.1pt;margin-top:-1.15pt;width:226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OB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" stroked="f">
              <v:textbox>
                <w:txbxContent>
                  <w:p w14:paraId="16609C4B" w14:textId="77777777" w:rsidR="00462307" w:rsidRPr="00CE70B9" w:rsidRDefault="00EF455C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Kanton St.</w:t>
                    </w: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Gallen</w:t>
                    </w:r>
                  </w:p>
                  <w:p w14:paraId="1358A438" w14:textId="77777777" w:rsidR="00462307" w:rsidRPr="00CE70B9" w:rsidRDefault="00EF455C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Departement des Innern</w:t>
                    </w:r>
                  </w:p>
                  <w:p w14:paraId="4AA0A9F2" w14:textId="77777777" w:rsidR="00462307" w:rsidRPr="00CE70B9" w:rsidRDefault="00B92439" w:rsidP="00CE70B9">
                    <w:pP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  <w:p w14:paraId="10A48C32" w14:textId="77777777" w:rsidR="00462307" w:rsidRPr="00CE70B9" w:rsidRDefault="00EF455C" w:rsidP="00CE70B9">
                    <w:pPr>
                      <w:outlineLvl w:val="0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Amt für Handelsregister und Notariate</w:t>
                    </w:r>
                  </w:p>
                  <w:p w14:paraId="13A3277E" w14:textId="77777777" w:rsidR="00462307" w:rsidRPr="00FA4A6A" w:rsidRDefault="00B92439" w:rsidP="00CE70B9"/>
                </w:txbxContent>
              </v:textbox>
            </v:shape>
          </w:pict>
        </mc:Fallback>
      </mc:AlternateContent>
    </w:r>
    <w:r w:rsidRPr="00333C5B">
      <w:rPr>
        <w:rFonts w:ascii="Arial" w:hAnsi="Arial" w:cs="Arial"/>
        <w:sz w:val="21"/>
        <w:szCs w:val="21"/>
      </w:rPr>
      <w:t>Kanton St. Gallen</w:t>
    </w:r>
    <w:r>
      <w:rPr>
        <w:rFonts w:ascii="Arial" w:hAnsi="Arial" w:cs="Arial"/>
        <w:sz w:val="21"/>
        <w:szCs w:val="21"/>
      </w:rPr>
      <w:tab/>
    </w:r>
    <w:r w:rsidRPr="00CE70B9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6256E9E0" wp14:editId="3B57122A">
          <wp:extent cx="465455" cy="592455"/>
          <wp:effectExtent l="0" t="0" r="0" b="0"/>
          <wp:docPr id="1" name="Grafik 1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67E42" w14:textId="77777777" w:rsidR="00462307" w:rsidRPr="00333C5B" w:rsidRDefault="00EF455C" w:rsidP="00766B95">
    <w:pPr>
      <w:rPr>
        <w:rFonts w:ascii="Arial" w:hAnsi="Arial" w:cs="Arial"/>
        <w:sz w:val="21"/>
        <w:szCs w:val="21"/>
      </w:rPr>
    </w:pPr>
    <w:r w:rsidRPr="00333C5B">
      <w:rPr>
        <w:rFonts w:ascii="Arial" w:hAnsi="Arial" w:cs="Arial"/>
        <w:sz w:val="21"/>
        <w:szCs w:val="21"/>
      </w:rPr>
      <w:t>Departement des Innern</w:t>
    </w:r>
  </w:p>
  <w:p w14:paraId="4426AEF9" w14:textId="77777777" w:rsidR="00462307" w:rsidRPr="00333C5B" w:rsidRDefault="007A569A" w:rsidP="00F4259E">
    <w:pPr>
      <w:spacing w:after="1560"/>
      <w:outlineLvl w:val="0"/>
      <w:rPr>
        <w:rFonts w:ascii="Arial" w:hAnsi="Arial" w:cs="Arial"/>
        <w:b/>
        <w:sz w:val="21"/>
        <w:szCs w:val="21"/>
      </w:rPr>
    </w:pPr>
  </w:p>
  <w:p w14:paraId="1B13702F" w14:textId="77777777" w:rsidR="00462307" w:rsidRPr="005151DC" w:rsidRDefault="00EF455C" w:rsidP="00FF3A8C">
    <w:pPr>
      <w:pStyle w:val="Kopfzeile"/>
      <w:spacing w:after="12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Öffentliche</w:t>
    </w:r>
  </w:p>
  <w:p w14:paraId="53C379DD" w14:textId="77777777" w:rsidR="00462307" w:rsidRPr="005151DC" w:rsidRDefault="00EF455C" w:rsidP="00FF3A8C">
    <w:pPr>
      <w:pStyle w:val="Kopfzeile"/>
      <w:spacing w:after="140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Urkunde</w:t>
    </w:r>
  </w:p>
  <w:p w14:paraId="0D26F55F" w14:textId="77777777" w:rsidR="00462307" w:rsidRDefault="007A569A">
    <w:pPr>
      <w:pStyle w:val="Kopfzeile"/>
    </w:pPr>
  </w:p>
  <w:p w14:paraId="2A9FE813" w14:textId="77777777" w:rsidR="00462307" w:rsidRDefault="007A569A">
    <w:pPr>
      <w:pStyle w:val="Kopfzeile"/>
    </w:pPr>
  </w:p>
  <w:p w14:paraId="5396DAF9" w14:textId="77777777" w:rsidR="00462307" w:rsidRDefault="007A56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0587F"/>
    <w:multiLevelType w:val="hybridMultilevel"/>
    <w:tmpl w:val="85940892"/>
    <w:lvl w:ilvl="0" w:tplc="6986B2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4382E">
      <w:numFmt w:val="decimal"/>
      <w:lvlText w:val=""/>
      <w:lvlJc w:val="left"/>
    </w:lvl>
    <w:lvl w:ilvl="2" w:tplc="C49057FA">
      <w:numFmt w:val="decimal"/>
      <w:lvlText w:val=""/>
      <w:lvlJc w:val="left"/>
    </w:lvl>
    <w:lvl w:ilvl="3" w:tplc="AA5AAB84">
      <w:numFmt w:val="decimal"/>
      <w:lvlText w:val=""/>
      <w:lvlJc w:val="left"/>
    </w:lvl>
    <w:lvl w:ilvl="4" w:tplc="5BB8348A">
      <w:numFmt w:val="decimal"/>
      <w:lvlText w:val=""/>
      <w:lvlJc w:val="left"/>
    </w:lvl>
    <w:lvl w:ilvl="5" w:tplc="E0E41BF6">
      <w:numFmt w:val="decimal"/>
      <w:lvlText w:val=""/>
      <w:lvlJc w:val="left"/>
    </w:lvl>
    <w:lvl w:ilvl="6" w:tplc="34D8B8CE">
      <w:numFmt w:val="decimal"/>
      <w:lvlText w:val=""/>
      <w:lvlJc w:val="left"/>
    </w:lvl>
    <w:lvl w:ilvl="7" w:tplc="2842B6C8">
      <w:numFmt w:val="decimal"/>
      <w:lvlText w:val=""/>
      <w:lvlJc w:val="left"/>
    </w:lvl>
    <w:lvl w:ilvl="8" w:tplc="92ECEC38">
      <w:numFmt w:val="decimal"/>
      <w:lvlText w:val=""/>
      <w:lvlJc w:val="left"/>
    </w:lvl>
  </w:abstractNum>
  <w:abstractNum w:abstractNumId="11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4" w15:restartNumberingAfterBreak="0">
    <w:nsid w:val="6EFD2A3D"/>
    <w:multiLevelType w:val="hybridMultilevel"/>
    <w:tmpl w:val="AC888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BD"/>
    <w:rsid w:val="000165E4"/>
    <w:rsid w:val="001075DA"/>
    <w:rsid w:val="0012552A"/>
    <w:rsid w:val="00151A47"/>
    <w:rsid w:val="0017544C"/>
    <w:rsid w:val="0020721C"/>
    <w:rsid w:val="00207F22"/>
    <w:rsid w:val="00222FA3"/>
    <w:rsid w:val="002B1EB9"/>
    <w:rsid w:val="00342865"/>
    <w:rsid w:val="003B2715"/>
    <w:rsid w:val="003D66F9"/>
    <w:rsid w:val="0044342E"/>
    <w:rsid w:val="004629EA"/>
    <w:rsid w:val="004F60AB"/>
    <w:rsid w:val="00535A55"/>
    <w:rsid w:val="00541CFE"/>
    <w:rsid w:val="00554C1B"/>
    <w:rsid w:val="0059260B"/>
    <w:rsid w:val="005C5F1C"/>
    <w:rsid w:val="005E53A2"/>
    <w:rsid w:val="00603F78"/>
    <w:rsid w:val="0061214B"/>
    <w:rsid w:val="0066341B"/>
    <w:rsid w:val="006930C7"/>
    <w:rsid w:val="00762948"/>
    <w:rsid w:val="007961D6"/>
    <w:rsid w:val="007A569A"/>
    <w:rsid w:val="007B186C"/>
    <w:rsid w:val="00820F22"/>
    <w:rsid w:val="00822C80"/>
    <w:rsid w:val="00843402"/>
    <w:rsid w:val="0086445A"/>
    <w:rsid w:val="008727BD"/>
    <w:rsid w:val="008812BC"/>
    <w:rsid w:val="00881F26"/>
    <w:rsid w:val="008A0E0A"/>
    <w:rsid w:val="008A68FB"/>
    <w:rsid w:val="00911BD6"/>
    <w:rsid w:val="00927E5A"/>
    <w:rsid w:val="009A28D6"/>
    <w:rsid w:val="009D2392"/>
    <w:rsid w:val="009D6A98"/>
    <w:rsid w:val="009E111B"/>
    <w:rsid w:val="009F0792"/>
    <w:rsid w:val="009F7AA7"/>
    <w:rsid w:val="00A07C63"/>
    <w:rsid w:val="00A34900"/>
    <w:rsid w:val="00B25D92"/>
    <w:rsid w:val="00B75D01"/>
    <w:rsid w:val="00B82E9F"/>
    <w:rsid w:val="00B92439"/>
    <w:rsid w:val="00BE0340"/>
    <w:rsid w:val="00C81800"/>
    <w:rsid w:val="00CA09D5"/>
    <w:rsid w:val="00CA20FF"/>
    <w:rsid w:val="00D16C5F"/>
    <w:rsid w:val="00D345D6"/>
    <w:rsid w:val="00D50BD0"/>
    <w:rsid w:val="00D858F6"/>
    <w:rsid w:val="00D86E0C"/>
    <w:rsid w:val="00DD0151"/>
    <w:rsid w:val="00E42444"/>
    <w:rsid w:val="00EA381E"/>
    <w:rsid w:val="00EF455C"/>
    <w:rsid w:val="00E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376BA3"/>
  <w15:chartTrackingRefBased/>
  <w15:docId w15:val="{D567943B-6B56-4540-99D5-1D99C4C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55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spacing w:after="120"/>
    </w:pPr>
    <w:rPr>
      <w:i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left" w:pos="5216"/>
        <w:tab w:val="decimal" w:pos="7938"/>
      </w:tabs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Kommentarzeichen">
    <w:name w:val="annotation reference"/>
    <w:basedOn w:val="Absatz-Standardschriftart"/>
    <w:uiPriority w:val="99"/>
    <w:semiHidden/>
    <w:unhideWhenUsed/>
    <w:rsid w:val="00A07C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7C6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7C6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7C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7C63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8A0E0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7CCF-FA6A-40FE-8BD5-8FF61EC2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Benno DI-AfHN-H2</dc:creator>
  <cp:keywords/>
  <dc:description/>
  <cp:lastModifiedBy>Ugrica, Sanja</cp:lastModifiedBy>
  <cp:revision>3</cp:revision>
  <dcterms:created xsi:type="dcterms:W3CDTF">2022-12-19T15:46:00Z</dcterms:created>
  <dcterms:modified xsi:type="dcterms:W3CDTF">2023-04-13T12:27:00Z</dcterms:modified>
</cp:coreProperties>
</file>