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2DF2" w14:textId="32CDA799" w:rsidR="00DC0AE3" w:rsidRPr="007D5D5D" w:rsidRDefault="007D5D5D" w:rsidP="007D5D5D">
      <w:pPr>
        <w:tabs>
          <w:tab w:val="clear" w:pos="425"/>
          <w:tab w:val="clear" w:pos="851"/>
          <w:tab w:val="left" w:pos="70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B95FEC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ab/>
        <w:t>Bauverwaltung</w:t>
      </w:r>
    </w:p>
    <w:p w14:paraId="57E073C1" w14:textId="77777777"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0"/>
        <w:gridCol w:w="2971"/>
        <w:gridCol w:w="3436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427BAB45" w14:textId="791137D5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9341A7">
              <w:t>02</w:t>
            </w:r>
            <w:r w:rsidR="007D5D5D">
              <w:t>2</w:t>
            </w:r>
            <w:r w:rsidRPr="009341A7">
              <w:t xml:space="preserve"> Allgemeine Dienste</w:t>
            </w:r>
            <w:r w:rsidR="007D5D5D">
              <w:t>, übrige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57FEC6AA" w14:textId="0C4CA344" w:rsidR="002F33B0" w:rsidRDefault="00082643" w:rsidP="007D5D5D">
            <w:pPr>
              <w:pStyle w:val="Listenabsatz"/>
              <w:ind w:left="0"/>
            </w:pPr>
            <w:r>
              <w:t>Die Bauverwaltung ist verantwortlich für die Kontrolle und die Durchsetzung der baupolizeilichen Vorgaben auf Basis des kommunalen Baureglements</w:t>
            </w:r>
            <w:r w:rsidR="00282020">
              <w:t>.</w:t>
            </w:r>
          </w:p>
          <w:p w14:paraId="64426B10" w14:textId="6C2BBF23" w:rsidR="00082643" w:rsidRDefault="00082643" w:rsidP="007D5D5D">
            <w:pPr>
              <w:pStyle w:val="Listenabsatz"/>
              <w:ind w:left="0"/>
            </w:pPr>
            <w:r>
              <w:t>Die Bauverwaltung wird kundenorientiert und wirtschaftlich geführt.</w:t>
            </w: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628D49B1" w14:textId="666C1EBF" w:rsidR="00AB7C40" w:rsidRDefault="007D5D5D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Planungs- und Baugesetz (sGS 731.1)</w:t>
            </w:r>
          </w:p>
          <w:p w14:paraId="6150E8BC" w14:textId="64C4E0F6" w:rsidR="004E7576" w:rsidRDefault="007D5D5D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Baureglement</w:t>
            </w:r>
          </w:p>
          <w:p w14:paraId="4E93E4E4" w14:textId="77777777"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Gebührentarife (kantonal und kommunal)</w:t>
            </w:r>
          </w:p>
          <w:p w14:paraId="1AC0DF1D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</w:p>
          <w:p w14:paraId="743C1EAB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41717CBC" w14:textId="77777777" w:rsidR="004E7576" w:rsidRDefault="004E7576" w:rsidP="00521B72">
            <w:pPr>
              <w:tabs>
                <w:tab w:val="clear" w:pos="851"/>
                <w:tab w:val="left" w:pos="169"/>
              </w:tabs>
            </w:pP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4A58D1A9" w14:textId="77777777" w:rsidR="007D5D5D" w:rsidRPr="007D5D5D" w:rsidRDefault="007D5D5D" w:rsidP="007D5D5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7D5D5D">
              <w:t>Organigramm, Funktionsdiagramm</w:t>
            </w:r>
          </w:p>
          <w:p w14:paraId="4C702104" w14:textId="77777777" w:rsidR="007D5D5D" w:rsidRPr="007D5D5D" w:rsidRDefault="007D5D5D" w:rsidP="007D5D5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7D5D5D">
              <w:t>Konstituierung (inkl. Baukommission bzw. Baubehörde)</w:t>
            </w:r>
          </w:p>
          <w:p w14:paraId="04AF65BB" w14:textId="77777777" w:rsidR="007D5D5D" w:rsidRPr="007D5D5D" w:rsidRDefault="007D5D5D" w:rsidP="007D5D5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7D5D5D">
              <w:t>Visums- und Kompetenzregelung</w:t>
            </w:r>
          </w:p>
          <w:p w14:paraId="57DE7127" w14:textId="77777777" w:rsidR="007D5D5D" w:rsidRPr="007D5D5D" w:rsidRDefault="007D5D5D" w:rsidP="007D5D5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7D5D5D">
              <w:t>Baudossiers mit Baugesuchen</w:t>
            </w:r>
          </w:p>
          <w:p w14:paraId="0BA7C42E" w14:textId="77777777" w:rsidR="007D5D5D" w:rsidRPr="007D5D5D" w:rsidRDefault="007D5D5D" w:rsidP="007D5D5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7D5D5D">
              <w:t>Baubewilligungen</w:t>
            </w:r>
          </w:p>
          <w:p w14:paraId="3E1DD87A" w14:textId="77777777" w:rsidR="007D5D5D" w:rsidRPr="007D5D5D" w:rsidRDefault="007D5D5D" w:rsidP="007D5D5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7D5D5D">
              <w:t>Protokolle der Baukommission (Baubehörde) bzw. des entscheidenden Gremiums</w:t>
            </w:r>
          </w:p>
          <w:p w14:paraId="1A0689E7" w14:textId="77777777" w:rsidR="007D5D5D" w:rsidRPr="007D5D5D" w:rsidRDefault="007D5D5D" w:rsidP="007D5D5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7D5D5D">
              <w:t>Dossier Zonenplananpassungen</w:t>
            </w:r>
          </w:p>
          <w:p w14:paraId="07E524A2" w14:textId="77777777" w:rsidR="007D5D5D" w:rsidRPr="007D5D5D" w:rsidRDefault="007D5D5D" w:rsidP="007D5D5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7D5D5D">
              <w:t>Dossier Gestaltungsplan</w:t>
            </w:r>
          </w:p>
          <w:p w14:paraId="7CBB19CA" w14:textId="77777777" w:rsidR="007D5D5D" w:rsidRPr="007D5D5D" w:rsidRDefault="007D5D5D" w:rsidP="007D5D5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7D5D5D">
              <w:t>Dossier Erschliessungsplanung/Erschliessungsprojekte</w:t>
            </w:r>
          </w:p>
          <w:p w14:paraId="30D94A67" w14:textId="77777777" w:rsidR="007D5D5D" w:rsidRPr="007D5D5D" w:rsidRDefault="007D5D5D" w:rsidP="007D5D5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7D5D5D">
              <w:t>Detailkontoblätter</w:t>
            </w:r>
          </w:p>
          <w:p w14:paraId="1B081A2D" w14:textId="77777777" w:rsidR="007D5D5D" w:rsidRPr="007D5D5D" w:rsidRDefault="007D5D5D" w:rsidP="007D5D5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proofErr w:type="spellStart"/>
            <w:r w:rsidRPr="007D5D5D">
              <w:t>Debitorenausstandsliste</w:t>
            </w:r>
            <w:proofErr w:type="spellEnd"/>
          </w:p>
          <w:p w14:paraId="0FBFC0EC" w14:textId="77777777" w:rsidR="007D5D5D" w:rsidRDefault="007D5D5D" w:rsidP="004E7576">
            <w:pPr>
              <w:pStyle w:val="Listenabsatz"/>
              <w:ind w:left="0"/>
            </w:pPr>
          </w:p>
          <w:p w14:paraId="5D986C9A" w14:textId="77777777" w:rsidR="004E7576" w:rsidRDefault="004E7576" w:rsidP="004E7576">
            <w:pPr>
              <w:pStyle w:val="Listenabsatz"/>
              <w:ind w:left="0"/>
            </w:pPr>
            <w:r>
              <w:t>Weitere:</w:t>
            </w:r>
          </w:p>
          <w:p w14:paraId="3B8B2810" w14:textId="77777777" w:rsidR="004E7576" w:rsidRDefault="004E7576" w:rsidP="004E7576">
            <w:pPr>
              <w:pStyle w:val="Listenabsatz"/>
              <w:ind w:left="0"/>
            </w:pP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11B2407E" w14:textId="368A6EE6" w:rsidR="00F40D34" w:rsidRPr="00F40D34" w:rsidRDefault="00C12670" w:rsidP="00F40D3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</w:t>
            </w:r>
            <w:r w:rsidR="00F40D34" w:rsidRPr="00F40D34">
              <w:t>ehlerhafte oder nicht erhobene Gebühren</w:t>
            </w:r>
          </w:p>
          <w:p w14:paraId="7E60CA4E" w14:textId="77777777" w:rsidR="00F40D34" w:rsidRPr="00F40D34" w:rsidRDefault="00F40D34" w:rsidP="00F40D3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F40D34">
              <w:t>Nichtbeachtung von Gesetzen und behördlichen Anweisungen</w:t>
            </w:r>
          </w:p>
          <w:p w14:paraId="623E1CCD" w14:textId="77777777" w:rsidR="00F40D34" w:rsidRPr="00F40D34" w:rsidRDefault="00F40D34" w:rsidP="00F40D3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F40D34">
              <w:t>Nachlässigkeit oder Missbrauch amtlicher Befugnisse (Stichwort: Amtswillkür)</w:t>
            </w:r>
          </w:p>
          <w:p w14:paraId="03E3D817" w14:textId="0A0F7232" w:rsidR="00F40D34" w:rsidRPr="00F40D34" w:rsidRDefault="00C12670" w:rsidP="00F40D34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</w:t>
            </w:r>
            <w:r w:rsidR="00F40D34" w:rsidRPr="00F40D34">
              <w:t>ufwändige Rechtsmittelverfahren</w:t>
            </w:r>
          </w:p>
          <w:p w14:paraId="4ABEB854" w14:textId="77777777" w:rsidR="00F40D34" w:rsidRDefault="00F40D34" w:rsidP="00AB7C40">
            <w:pPr>
              <w:tabs>
                <w:tab w:val="clear" w:pos="851"/>
                <w:tab w:val="left" w:pos="169"/>
              </w:tabs>
            </w:pPr>
          </w:p>
          <w:p w14:paraId="7959FE7B" w14:textId="5B54C4B6" w:rsidR="00AB7C40" w:rsidRDefault="00082643" w:rsidP="00AB7C40">
            <w:pPr>
              <w:tabs>
                <w:tab w:val="clear" w:pos="851"/>
                <w:tab w:val="left" w:pos="169"/>
              </w:tabs>
            </w:pPr>
            <w:r>
              <w:t>Weitere:</w:t>
            </w:r>
          </w:p>
          <w:p w14:paraId="0C84B4E4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</w:tc>
      </w:tr>
      <w:tr w:rsidR="003570A8" w14:paraId="04F8F688" w14:textId="77777777" w:rsidTr="00B95FEC">
        <w:trPr>
          <w:trHeight w:val="340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93065B" w14:paraId="29AF5551" w14:textId="77777777" w:rsidTr="00B95FEC">
        <w:trPr>
          <w:trHeight w:val="567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</w:tbl>
    <w:p w14:paraId="2BD2AB67" w14:textId="77777777" w:rsidR="00B95FEC" w:rsidRDefault="00B95FE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"/>
        <w:gridCol w:w="687"/>
        <w:gridCol w:w="1616"/>
        <w:gridCol w:w="1494"/>
        <w:gridCol w:w="653"/>
        <w:gridCol w:w="3030"/>
        <w:gridCol w:w="1230"/>
      </w:tblGrid>
      <w:tr w:rsidR="00AB7C40" w14:paraId="27D33AD3" w14:textId="77777777" w:rsidTr="00B95FEC">
        <w:trPr>
          <w:trHeight w:val="567"/>
        </w:trPr>
        <w:tc>
          <w:tcPr>
            <w:tcW w:w="47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002BCFE1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lastRenderedPageBreak/>
              <w:t>Prüfungshandlungen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 w:rsidRPr="0068150C">
              <w:rPr>
                <w:b/>
                <w:sz w:val="24"/>
                <w:szCs w:val="24"/>
              </w:rPr>
              <w:t>i.O</w:t>
            </w:r>
            <w:proofErr w:type="spellEnd"/>
            <w:r w:rsidRPr="00681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D01DDB" w14:paraId="01D78E6D" w14:textId="77777777" w:rsidTr="00B95FEC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B95FE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1818C305" w:rsidR="002037DD" w:rsidRPr="0068150C" w:rsidRDefault="00B95FEC" w:rsidP="00F40D3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2829B4" w14:paraId="6A800FF2" w14:textId="77777777" w:rsidTr="00B95FEC">
        <w:trPr>
          <w:trHeight w:val="5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20F5F415" w:rsidR="002829B4" w:rsidRDefault="00B95FEC" w:rsidP="00F40D34">
            <w:pPr>
              <w:pStyle w:val="Listenabsatz"/>
              <w:ind w:left="0"/>
            </w:pPr>
            <w:r>
              <w:t>32.</w:t>
            </w:r>
            <w:r w:rsidR="002829B4">
              <w:t>1.1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77777777" w:rsidR="002829B4" w:rsidRDefault="002829B4" w:rsidP="002829B4">
            <w:pPr>
              <w:pStyle w:val="Listenabsatz"/>
              <w:ind w:left="0"/>
            </w:pPr>
            <w:r>
              <w:t xml:space="preserve">Wer trägt die </w:t>
            </w:r>
            <w:r w:rsidRPr="002829B4">
              <w:t>Hauptverantwortung</w:t>
            </w:r>
            <w:r>
              <w:t xml:space="preserve"> für dieses Prüffeld?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2829B4" w14:paraId="4C2B15AF" w14:textId="77777777" w:rsidTr="00B95FEC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4C7A2448" w:rsidR="002829B4" w:rsidRDefault="00B95FEC" w:rsidP="00F40D34">
            <w:pPr>
              <w:pStyle w:val="Listenabsatz"/>
              <w:ind w:left="0"/>
            </w:pPr>
            <w:r>
              <w:t>32.</w:t>
            </w:r>
            <w:r w:rsidR="002829B4">
              <w:t>1.2</w:t>
            </w:r>
          </w:p>
        </w:tc>
        <w:tc>
          <w:tcPr>
            <w:tcW w:w="379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5218F" w14:textId="77777777" w:rsidR="002829B4" w:rsidRPr="00F11D00" w:rsidRDefault="002829B4" w:rsidP="002829B4">
            <w:pPr>
              <w:pStyle w:val="Listenabsatz"/>
              <w:ind w:left="0"/>
            </w:pPr>
            <w:r w:rsidRPr="002829B4">
              <w:t>Ist die Stellvertretung geregelt und funktioniert sie?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E265B9" w14:paraId="312424C1" w14:textId="77777777" w:rsidTr="00B95FEC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0A641894" w:rsidR="00E265B9" w:rsidRDefault="00B95FEC" w:rsidP="00F40D34">
            <w:pPr>
              <w:pStyle w:val="Listenabsatz"/>
              <w:ind w:left="0"/>
            </w:pPr>
            <w:r>
              <w:t>32.</w:t>
            </w:r>
            <w:r w:rsidR="00E265B9">
              <w:t>1.3</w:t>
            </w:r>
          </w:p>
        </w:tc>
        <w:tc>
          <w:tcPr>
            <w:tcW w:w="379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9FF1" w14:textId="77777777" w:rsidR="00E265B9" w:rsidRDefault="00E265B9" w:rsidP="00E265B9">
            <w:pPr>
              <w:pStyle w:val="Listenabsatz"/>
              <w:ind w:left="0"/>
              <w:rPr>
                <w:sz w:val="20"/>
              </w:rPr>
            </w:pPr>
            <w:r w:rsidRPr="00E265B9">
              <w:t>Sind Stellenbeschreibungen für die wichtigsten Funktionsträger vorhanden? Sind sie aktuell?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63B9B73" w14:textId="77777777" w:rsidTr="00B95FEC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1AE10C6A" w:rsidR="00E265B9" w:rsidRDefault="00B95FEC" w:rsidP="00F40D34">
            <w:pPr>
              <w:pStyle w:val="Listenabsatz"/>
              <w:ind w:left="0"/>
            </w:pPr>
            <w:r>
              <w:t>32.</w:t>
            </w:r>
            <w:r w:rsidR="00E265B9">
              <w:t>1.4</w:t>
            </w:r>
          </w:p>
        </w:tc>
        <w:tc>
          <w:tcPr>
            <w:tcW w:w="379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4BE875" w14:textId="77777777" w:rsidR="00E265B9" w:rsidRPr="002829B4" w:rsidRDefault="00E265B9" w:rsidP="00E265B9">
            <w:pPr>
              <w:pStyle w:val="Listenabsatz"/>
              <w:ind w:left="0"/>
            </w:pPr>
            <w:r w:rsidRPr="00E265B9">
              <w:t>Sind die wichtigsten Tätigkeiten dokumentiert (Ablaufbeschreibungen, Handbücher, Ablagesysteme usw.)?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764A9BB3" w14:textId="77777777" w:rsidTr="00B95FE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67554150" w:rsidR="00E265B9" w:rsidRPr="0068150C" w:rsidRDefault="00B95FEC" w:rsidP="00F40D3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  <w:r w:rsidR="00E26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E265B9" w14:paraId="012050BA" w14:textId="77777777" w:rsidTr="00B95FE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364206F1" w:rsidR="00E265B9" w:rsidRDefault="00B95FEC" w:rsidP="00F40D34">
            <w:pPr>
              <w:pStyle w:val="Listenabsatz"/>
              <w:ind w:left="0"/>
            </w:pPr>
            <w:r>
              <w:t>32.</w:t>
            </w:r>
            <w:r w:rsidR="00F11D00">
              <w:t>2.1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AF92DBA" w14:textId="77777777" w:rsidR="00E265B9" w:rsidRPr="00E265B9" w:rsidRDefault="00E265B9" w:rsidP="00E265B9">
            <w:pPr>
              <w:pStyle w:val="Listenabsatz"/>
              <w:ind w:left="0"/>
            </w:pPr>
            <w:r w:rsidRPr="00E265B9">
              <w:t>Bestehen wirksame Funktionentrennungen</w:t>
            </w:r>
            <w:r>
              <w:t xml:space="preserve"> </w:t>
            </w:r>
            <w:r w:rsidRPr="00E265B9">
              <w:t>(Vier- oder Sechsaugenprinzip)</w:t>
            </w:r>
            <w:r>
              <w:t xml:space="preserve"> </w:t>
            </w:r>
            <w:r w:rsidRPr="00E265B9">
              <w:t>in diesem Prüffeld?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5C82BB8" w14:textId="77777777" w:rsidTr="00B95FE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12C5DFA6" w:rsidR="00E265B9" w:rsidRDefault="00B95FEC" w:rsidP="00F40D34">
            <w:pPr>
              <w:pStyle w:val="Listenabsatz"/>
              <w:ind w:left="0"/>
            </w:pPr>
            <w:r>
              <w:t>32.</w:t>
            </w:r>
            <w:r w:rsidR="00F11D00">
              <w:t>2.2</w:t>
            </w:r>
          </w:p>
        </w:tc>
        <w:tc>
          <w:tcPr>
            <w:tcW w:w="379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0F8964" w14:textId="4CA9CD23" w:rsidR="00E265B9" w:rsidRPr="00E265B9" w:rsidRDefault="00F40D34" w:rsidP="00E265B9">
            <w:pPr>
              <w:pStyle w:val="Listenabsatz"/>
              <w:ind w:left="0"/>
            </w:pPr>
            <w:r w:rsidRPr="00F40D34">
              <w:t xml:space="preserve">Sind Visa- und Kompetenzregelungen vorhanden (materielle Kontrolle, rechnerische Kontrolle, Zahlungsfreigabe, wer kontiert </w:t>
            </w:r>
            <w:r w:rsidR="00C12670">
              <w:t>usw.</w:t>
            </w:r>
            <w:r w:rsidRPr="00F40D34">
              <w:t>)?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E241069" w14:textId="77777777" w:rsidTr="00B95FE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42A7858A" w:rsidR="00E265B9" w:rsidRPr="0068150C" w:rsidRDefault="00B95FEC" w:rsidP="00F40D3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  <w:r w:rsidR="00E26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E265B9" w14:paraId="4F58C19D" w14:textId="77777777" w:rsidTr="00B95FE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2EA9B40D" w:rsidR="00E265B9" w:rsidRDefault="00B95FEC" w:rsidP="00F40D34">
            <w:pPr>
              <w:pStyle w:val="Listenabsatz"/>
              <w:ind w:left="0"/>
            </w:pPr>
            <w:r>
              <w:t>32.</w:t>
            </w:r>
            <w:r w:rsidR="00F11D00">
              <w:t>3.1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92FF01E" w14:textId="4D7A2A48" w:rsidR="00E265B9" w:rsidRPr="00E265B9" w:rsidRDefault="00F40D34" w:rsidP="00E265B9">
            <w:pPr>
              <w:pStyle w:val="Listenabsatz"/>
              <w:ind w:left="0"/>
            </w:pPr>
            <w:r w:rsidRPr="00F40D34">
              <w:t>Wer zeichnet für die Buchführung verantwortlich (Bauverwaltung oder Finanzverwaltung der politischen Gemeinde)?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5F8EB722" w14:textId="77777777" w:rsidTr="00B95FE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5A93B9FE" w:rsidR="00E265B9" w:rsidRDefault="00B95FEC" w:rsidP="00F40D34">
            <w:pPr>
              <w:pStyle w:val="Listenabsatz"/>
              <w:ind w:left="0"/>
            </w:pPr>
            <w:r>
              <w:t>32.</w:t>
            </w:r>
            <w:r w:rsidR="00F11D00">
              <w:t>3.2</w:t>
            </w:r>
          </w:p>
        </w:tc>
        <w:tc>
          <w:tcPr>
            <w:tcW w:w="379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E881A1" w14:textId="40F0D7D5" w:rsidR="00E265B9" w:rsidRPr="00E265B9" w:rsidRDefault="00B61A20" w:rsidP="00F40D34">
            <w:pPr>
              <w:pStyle w:val="Listenabsatz"/>
              <w:tabs>
                <w:tab w:val="clear" w:pos="851"/>
              </w:tabs>
              <w:ind w:left="0"/>
            </w:pPr>
            <w:r>
              <w:t>Sind spezielle IT</w:t>
            </w:r>
            <w:r w:rsidR="00F40D34">
              <w:t>-Applikationen im Einsatz? Wenn ja, werden Daten in die Finanzbuchhaltung übertragen und werden diese regelmässig abgeglichen?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4E6F14F4" w14:textId="77777777" w:rsidTr="00B95FE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41B1F821" w:rsidR="00E265B9" w:rsidRDefault="00B95FEC" w:rsidP="00F40D34">
            <w:pPr>
              <w:pStyle w:val="Listenabsatz"/>
              <w:ind w:left="0"/>
            </w:pPr>
            <w:r>
              <w:t>32.</w:t>
            </w:r>
            <w:r w:rsidR="00F11D00">
              <w:t>3.3</w:t>
            </w:r>
          </w:p>
        </w:tc>
        <w:tc>
          <w:tcPr>
            <w:tcW w:w="379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A4A056" w14:textId="1890B01A" w:rsidR="00E265B9" w:rsidRPr="00E265B9" w:rsidRDefault="00F40D34" w:rsidP="00E265B9">
            <w:pPr>
              <w:pStyle w:val="Listenabsatz"/>
              <w:ind w:left="0"/>
            </w:pPr>
            <w:r w:rsidRPr="00F40D34">
              <w:t>Wo und wie findet der Zahlungsverkehr statt? Wer gibt die Zahlungen zur Zahlung frei?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4144597" w14:textId="77777777" w:rsidTr="00B95FE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129C7017" w:rsidR="00E265B9" w:rsidRDefault="00B95FEC" w:rsidP="00F40D34">
            <w:pPr>
              <w:pStyle w:val="Listenabsatz"/>
              <w:ind w:left="0"/>
            </w:pPr>
            <w:r>
              <w:t>32.</w:t>
            </w:r>
            <w:r w:rsidR="00F11D00">
              <w:t>3.4</w:t>
            </w:r>
          </w:p>
        </w:tc>
        <w:tc>
          <w:tcPr>
            <w:tcW w:w="379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370876" w14:textId="645BCBED" w:rsidR="00E265B9" w:rsidRPr="00E265B9" w:rsidRDefault="00F40D34" w:rsidP="00E265B9">
            <w:pPr>
              <w:pStyle w:val="Listenabsatz"/>
              <w:ind w:left="0"/>
            </w:pPr>
            <w:r w:rsidRPr="00F40D34">
              <w:t>Werden die Antragsteller für Zonenplananpassungen im Rahmen ihrer Begünstigung zur Finanzierung der Verfahrenskosten angegangen?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731EA36" w14:textId="77777777" w:rsidTr="00B95FE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78AA" w14:textId="0447F8CF" w:rsidR="00E265B9" w:rsidRDefault="00B95FEC" w:rsidP="00F40D34">
            <w:pPr>
              <w:pStyle w:val="Listenabsatz"/>
              <w:ind w:left="0"/>
            </w:pPr>
            <w:r>
              <w:t>32.</w:t>
            </w:r>
            <w:r w:rsidR="00F11D00">
              <w:t>3.5</w:t>
            </w:r>
          </w:p>
        </w:tc>
        <w:tc>
          <w:tcPr>
            <w:tcW w:w="379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81EF599" w14:textId="75E7DE27" w:rsidR="00E265B9" w:rsidRPr="00E265B9" w:rsidRDefault="00F40D34" w:rsidP="00F40D34">
            <w:pPr>
              <w:tabs>
                <w:tab w:val="clear" w:pos="425"/>
                <w:tab w:val="left" w:pos="250"/>
              </w:tabs>
            </w:pPr>
            <w:r w:rsidRPr="00F40D34">
              <w:t>Werden die Kosten von Gestaltungsplänen und anderen gleichwertigen Planungen sowie die Verfahrenskosten im Rahmen ihrer Begünstigung den betroffenen/begünstigten Grund-eigentümern weiterverrechnet?</w:t>
            </w:r>
          </w:p>
        </w:tc>
        <w:sdt>
          <w:sdtPr>
            <w:id w:val="85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C0D5E9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B11A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019FD" w14:textId="77777777" w:rsidR="00E265B9" w:rsidRDefault="00E265B9" w:rsidP="00E265B9">
            <w:pPr>
              <w:pStyle w:val="Listenabsatz"/>
              <w:ind w:left="0"/>
            </w:pPr>
          </w:p>
        </w:tc>
      </w:tr>
    </w:tbl>
    <w:p w14:paraId="31B5147C" w14:textId="77777777" w:rsidR="00B95FEC" w:rsidRDefault="00B95FE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"/>
        <w:gridCol w:w="3797"/>
        <w:gridCol w:w="653"/>
        <w:gridCol w:w="3030"/>
        <w:gridCol w:w="1230"/>
      </w:tblGrid>
      <w:tr w:rsidR="00E265B9" w14:paraId="2C8BC220" w14:textId="77777777" w:rsidTr="00B95FE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1F3790A7" w:rsidR="00E265B9" w:rsidRPr="0068150C" w:rsidRDefault="00B95FEC" w:rsidP="00F40D3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32.</w:t>
            </w:r>
            <w:r w:rsidR="00E26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E265B9" w:rsidRPr="0068150C" w:rsidRDefault="00521B72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E265B9" w14:paraId="5B2C56F7" w14:textId="77777777" w:rsidTr="00F40D34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222F9C54" w:rsidR="00E265B9" w:rsidRDefault="00B95FEC" w:rsidP="00F40D34">
            <w:pPr>
              <w:pStyle w:val="Listenabsatz"/>
              <w:ind w:left="0"/>
            </w:pPr>
            <w:r>
              <w:t>32.</w:t>
            </w:r>
            <w:r w:rsidR="00F11D00">
              <w:t>4.1</w:t>
            </w:r>
          </w:p>
        </w:tc>
        <w:tc>
          <w:tcPr>
            <w:tcW w:w="37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920AC2" w14:textId="4EC2E7CD" w:rsidR="00C6109E" w:rsidRDefault="00C6109E" w:rsidP="00E265B9">
            <w:pPr>
              <w:pStyle w:val="Listenabsatz"/>
              <w:ind w:left="0"/>
            </w:pPr>
            <w:r>
              <w:t xml:space="preserve">Wie sind die Zuständigkeiten und Verantwortlichkeiten für die </w:t>
            </w:r>
            <w:proofErr w:type="spellStart"/>
            <w:r>
              <w:t>Baugesuchsabläufe</w:t>
            </w:r>
            <w:proofErr w:type="spellEnd"/>
            <w:r>
              <w:t xml:space="preserve"> organisiert?</w:t>
            </w:r>
          </w:p>
          <w:p w14:paraId="73C757BD" w14:textId="6F74193D" w:rsidR="00C6109E" w:rsidRDefault="00C6109E" w:rsidP="00E265B9">
            <w:pPr>
              <w:pStyle w:val="Listenabsatz"/>
              <w:ind w:left="0"/>
            </w:pPr>
            <w:r>
              <w:t xml:space="preserve">Wer trägt die übergeordnete Verantwortung für </w:t>
            </w:r>
            <w:proofErr w:type="spellStart"/>
            <w:r>
              <w:t>Baugesuchsabläufe</w:t>
            </w:r>
            <w:proofErr w:type="spellEnd"/>
            <w:r>
              <w:t>?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E265B9" w:rsidRDefault="00E72C4A" w:rsidP="00E265B9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5348D332" w14:textId="77777777" w:rsidTr="00F40D34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11ABF" w14:textId="183B66A0" w:rsidR="00E265B9" w:rsidRDefault="00B95FEC" w:rsidP="00F40D34">
            <w:pPr>
              <w:pStyle w:val="Listenabsatz"/>
              <w:ind w:left="0"/>
            </w:pPr>
            <w:r>
              <w:t>32.</w:t>
            </w:r>
            <w:r w:rsidR="00F11D00">
              <w:t>4.2</w:t>
            </w:r>
          </w:p>
        </w:tc>
        <w:tc>
          <w:tcPr>
            <w:tcW w:w="37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3BE322" w14:textId="6F83FB85" w:rsidR="00E265B9" w:rsidRDefault="00F40D34" w:rsidP="00E265B9">
            <w:pPr>
              <w:pStyle w:val="Listenabsatz"/>
              <w:ind w:left="0"/>
            </w:pPr>
            <w:r w:rsidRPr="00F40D34">
              <w:t>Wie erfolgt die Kontrolle der Baudossiers und was beinhaltet diese Kontrolle?</w:t>
            </w:r>
          </w:p>
        </w:tc>
        <w:sdt>
          <w:sdtPr>
            <w:id w:val="-70972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A856FB6" w14:textId="77777777" w:rsidR="00E265B9" w:rsidRDefault="00E72C4A" w:rsidP="00E265B9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1B6339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BA4DD6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F40D34" w14:paraId="1F3256AB" w14:textId="77777777" w:rsidTr="00F40D34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4647A7" w14:textId="66BF15F7" w:rsidR="00F40D34" w:rsidRDefault="00B95FEC" w:rsidP="00F40D34">
            <w:pPr>
              <w:pStyle w:val="Listenabsatz"/>
              <w:ind w:left="0"/>
            </w:pPr>
            <w:r>
              <w:t>32.</w:t>
            </w:r>
            <w:r w:rsidR="00F40D34">
              <w:t>4.3</w:t>
            </w:r>
          </w:p>
        </w:tc>
        <w:tc>
          <w:tcPr>
            <w:tcW w:w="37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37C2A8" w14:textId="5A176C63" w:rsidR="00F40D34" w:rsidRPr="00F40D34" w:rsidRDefault="00F40D34" w:rsidP="00E265B9">
            <w:pPr>
              <w:pStyle w:val="Listenabsatz"/>
              <w:ind w:left="0"/>
            </w:pPr>
            <w:r w:rsidRPr="00F40D34">
              <w:t>Können wesentliche Risiken durch diese Kontrollen ausgeschlossen oder zumindest stark minimiert werden? Wenn ja, welche?</w:t>
            </w:r>
          </w:p>
        </w:tc>
        <w:tc>
          <w:tcPr>
            <w:tcW w:w="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33A3EF" w14:textId="77777777" w:rsidR="00F40D34" w:rsidRDefault="00F40D34" w:rsidP="00E265B9">
            <w:pPr>
              <w:pStyle w:val="Listenabsatz"/>
              <w:ind w:left="0"/>
              <w:jc w:val="center"/>
            </w:pPr>
          </w:p>
        </w:tc>
        <w:tc>
          <w:tcPr>
            <w:tcW w:w="30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250028" w14:textId="77777777" w:rsidR="00F40D34" w:rsidRDefault="00F40D34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83F3F1" w14:textId="77777777" w:rsidR="00F40D34" w:rsidRDefault="00F40D34" w:rsidP="00E265B9">
            <w:pPr>
              <w:pStyle w:val="Listenabsatz"/>
              <w:ind w:left="0"/>
            </w:pPr>
          </w:p>
        </w:tc>
      </w:tr>
      <w:tr w:rsidR="00E265B9" w14:paraId="4ED46B78" w14:textId="77777777" w:rsidTr="00F40D34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4FA175AA" w:rsidR="00E265B9" w:rsidRPr="0068150C" w:rsidRDefault="00B95FEC" w:rsidP="00F40D3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  <w:r w:rsidR="00E265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464617" w14:paraId="154E5CA8" w14:textId="77777777" w:rsidTr="00C9507C">
        <w:trPr>
          <w:trHeight w:val="1144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A56E3" w14:textId="39D31C42" w:rsidR="00464617" w:rsidRDefault="00F40D34" w:rsidP="00F40D34">
            <w:pPr>
              <w:rPr>
                <w:szCs w:val="22"/>
              </w:rPr>
            </w:pPr>
            <w:r>
              <w:rPr>
                <w:szCs w:val="22"/>
              </w:rPr>
              <w:t xml:space="preserve">Betreffend Gebühren ist das AP Nr. </w:t>
            </w:r>
            <w:r w:rsidR="00B75FC3">
              <w:rPr>
                <w:szCs w:val="22"/>
              </w:rPr>
              <w:t xml:space="preserve">26 </w:t>
            </w:r>
            <w:r>
              <w:rPr>
                <w:szCs w:val="22"/>
              </w:rPr>
              <w:t>zu verwenden.</w:t>
            </w:r>
          </w:p>
          <w:p w14:paraId="1E47FFEA" w14:textId="72EFDF79" w:rsidR="008E6339" w:rsidRDefault="006477CB" w:rsidP="00F40D34">
            <w:pPr>
              <w:rPr>
                <w:szCs w:val="22"/>
              </w:rPr>
            </w:pPr>
            <w:r>
              <w:rPr>
                <w:szCs w:val="22"/>
              </w:rPr>
              <w:t xml:space="preserve">Betreffend öffentlichem Beschaffungswesen ist das AP Nr. </w:t>
            </w:r>
            <w:r w:rsidR="00B75FC3">
              <w:rPr>
                <w:szCs w:val="22"/>
              </w:rPr>
              <w:t xml:space="preserve">27 </w:t>
            </w:r>
            <w:r>
              <w:rPr>
                <w:szCs w:val="22"/>
              </w:rPr>
              <w:t>zu verwenden.</w:t>
            </w:r>
          </w:p>
          <w:p w14:paraId="462BB1BC" w14:textId="4B317233" w:rsidR="008E6339" w:rsidRPr="00F40D34" w:rsidRDefault="008E6339" w:rsidP="00F40D34">
            <w:pPr>
              <w:rPr>
                <w:szCs w:val="22"/>
              </w:rPr>
            </w:pPr>
            <w:bookmarkStart w:id="0" w:name="_GoBack"/>
            <w:bookmarkEnd w:id="0"/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938D1" w14:textId="77777777" w:rsidR="00000D3C" w:rsidRDefault="00000D3C" w:rsidP="004F60AB">
      <w:pPr>
        <w:spacing w:line="240" w:lineRule="auto"/>
      </w:pPr>
      <w:r>
        <w:separator/>
      </w:r>
    </w:p>
  </w:endnote>
  <w:endnote w:type="continuationSeparator" w:id="0">
    <w:p w14:paraId="1FA09C41" w14:textId="77777777" w:rsidR="00000D3C" w:rsidRDefault="00000D3C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826F" w14:textId="23594313" w:rsidR="0092465B" w:rsidRDefault="00B75FC3" w:rsidP="0092465B">
    <w:pPr>
      <w:pStyle w:val="Fuzeile"/>
    </w:pPr>
    <w:fldSimple w:instr=" FILENAME   \* MERGEFORMAT ">
      <w:r w:rsidR="00087F83">
        <w:t>GPK-Handbuch_32 Bauverwaltung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090CC846" w:rsidR="00657F6F" w:rsidRDefault="006515F4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087F83">
      <w:t>GPK-Handbuch_32 Bauverwaltung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0BFF8" w14:textId="77777777" w:rsidR="00000D3C" w:rsidRDefault="00000D3C" w:rsidP="004F60AB">
      <w:pPr>
        <w:spacing w:line="240" w:lineRule="auto"/>
      </w:pPr>
      <w:r>
        <w:separator/>
      </w:r>
    </w:p>
  </w:footnote>
  <w:footnote w:type="continuationSeparator" w:id="0">
    <w:p w14:paraId="787F5A82" w14:textId="77777777" w:rsidR="00000D3C" w:rsidRDefault="00000D3C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542B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3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12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00D3C"/>
    <w:rsid w:val="000165E4"/>
    <w:rsid w:val="00082643"/>
    <w:rsid w:val="00087F83"/>
    <w:rsid w:val="000C47F4"/>
    <w:rsid w:val="0012552A"/>
    <w:rsid w:val="00126F1F"/>
    <w:rsid w:val="00151A47"/>
    <w:rsid w:val="001625E0"/>
    <w:rsid w:val="0017544C"/>
    <w:rsid w:val="001830FE"/>
    <w:rsid w:val="002037DD"/>
    <w:rsid w:val="0020721C"/>
    <w:rsid w:val="00207F22"/>
    <w:rsid w:val="00222FA3"/>
    <w:rsid w:val="002661B6"/>
    <w:rsid w:val="00282020"/>
    <w:rsid w:val="002829B4"/>
    <w:rsid w:val="00296256"/>
    <w:rsid w:val="002B1EB9"/>
    <w:rsid w:val="002B7C59"/>
    <w:rsid w:val="002F33B0"/>
    <w:rsid w:val="003570A8"/>
    <w:rsid w:val="003D66F9"/>
    <w:rsid w:val="0044342E"/>
    <w:rsid w:val="004629EA"/>
    <w:rsid w:val="00464617"/>
    <w:rsid w:val="004E7576"/>
    <w:rsid w:val="004F2275"/>
    <w:rsid w:val="004F60AB"/>
    <w:rsid w:val="00521B72"/>
    <w:rsid w:val="00523C50"/>
    <w:rsid w:val="00535A55"/>
    <w:rsid w:val="00541CFE"/>
    <w:rsid w:val="00554C1B"/>
    <w:rsid w:val="0055783E"/>
    <w:rsid w:val="0059260B"/>
    <w:rsid w:val="005C5F1C"/>
    <w:rsid w:val="00603F78"/>
    <w:rsid w:val="0061214B"/>
    <w:rsid w:val="00615506"/>
    <w:rsid w:val="006477CB"/>
    <w:rsid w:val="006515F4"/>
    <w:rsid w:val="00657F6F"/>
    <w:rsid w:val="0068150C"/>
    <w:rsid w:val="006930C7"/>
    <w:rsid w:val="006A0AA6"/>
    <w:rsid w:val="00762948"/>
    <w:rsid w:val="007961D6"/>
    <w:rsid w:val="007B186C"/>
    <w:rsid w:val="007D5D5D"/>
    <w:rsid w:val="00804F92"/>
    <w:rsid w:val="00820F22"/>
    <w:rsid w:val="00822C80"/>
    <w:rsid w:val="0086445A"/>
    <w:rsid w:val="008812BC"/>
    <w:rsid w:val="00881F26"/>
    <w:rsid w:val="008A0AA6"/>
    <w:rsid w:val="008A68FB"/>
    <w:rsid w:val="008E6339"/>
    <w:rsid w:val="00911BD6"/>
    <w:rsid w:val="0092465B"/>
    <w:rsid w:val="00927E5A"/>
    <w:rsid w:val="0093065B"/>
    <w:rsid w:val="009341A7"/>
    <w:rsid w:val="0095071A"/>
    <w:rsid w:val="009A28D6"/>
    <w:rsid w:val="009D2392"/>
    <w:rsid w:val="009D6A98"/>
    <w:rsid w:val="009E111B"/>
    <w:rsid w:val="009F0792"/>
    <w:rsid w:val="009F7AA7"/>
    <w:rsid w:val="00A34900"/>
    <w:rsid w:val="00A97C0E"/>
    <w:rsid w:val="00AB7C40"/>
    <w:rsid w:val="00B25D92"/>
    <w:rsid w:val="00B61A20"/>
    <w:rsid w:val="00B75FC3"/>
    <w:rsid w:val="00B95FEC"/>
    <w:rsid w:val="00BE0340"/>
    <w:rsid w:val="00C12670"/>
    <w:rsid w:val="00C45A5B"/>
    <w:rsid w:val="00C6109E"/>
    <w:rsid w:val="00C81800"/>
    <w:rsid w:val="00CA09D5"/>
    <w:rsid w:val="00CA20FF"/>
    <w:rsid w:val="00D01DDB"/>
    <w:rsid w:val="00D16C5F"/>
    <w:rsid w:val="00D345D6"/>
    <w:rsid w:val="00D50BD0"/>
    <w:rsid w:val="00D86E0C"/>
    <w:rsid w:val="00DC0AE3"/>
    <w:rsid w:val="00DD0151"/>
    <w:rsid w:val="00E11881"/>
    <w:rsid w:val="00E265B9"/>
    <w:rsid w:val="00E42444"/>
    <w:rsid w:val="00E72C4A"/>
    <w:rsid w:val="00EA381E"/>
    <w:rsid w:val="00EF5582"/>
    <w:rsid w:val="00F11D00"/>
    <w:rsid w:val="00F40D34"/>
    <w:rsid w:val="00F51D52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5.xml><?xml version="1.0" encoding="utf-8"?>
<ds:datastoreItem xmlns:ds="http://schemas.openxmlformats.org/officeDocument/2006/customXml" ds:itemID="{EDCA262D-5FA6-4F8A-BD17-E66EECB6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Janjic Dejan DI-AfGB-GA</cp:lastModifiedBy>
  <cp:revision>17</cp:revision>
  <cp:lastPrinted>2019-01-15T06:30:00Z</cp:lastPrinted>
  <dcterms:created xsi:type="dcterms:W3CDTF">2019-02-26T09:17:00Z</dcterms:created>
  <dcterms:modified xsi:type="dcterms:W3CDTF">2022-02-24T14:28:00Z</dcterms:modified>
</cp:coreProperties>
</file>