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E6" w:rsidRPr="004E6C17" w:rsidRDefault="004E6C17" w:rsidP="00E218A3">
      <w:pPr>
        <w:tabs>
          <w:tab w:val="clear" w:pos="425"/>
          <w:tab w:val="left" w:pos="567"/>
        </w:tabs>
        <w:rPr>
          <w:b/>
          <w:sz w:val="40"/>
          <w:szCs w:val="40"/>
        </w:rPr>
      </w:pPr>
      <w:r>
        <w:rPr>
          <w:b/>
          <w:sz w:val="40"/>
          <w:szCs w:val="40"/>
        </w:rPr>
        <w:t>2</w:t>
      </w:r>
      <w:r w:rsidR="00335147">
        <w:rPr>
          <w:b/>
          <w:sz w:val="40"/>
          <w:szCs w:val="40"/>
        </w:rPr>
        <w:t>2</w:t>
      </w:r>
      <w:r>
        <w:rPr>
          <w:b/>
          <w:sz w:val="40"/>
          <w:szCs w:val="40"/>
        </w:rPr>
        <w:tab/>
      </w:r>
      <w:r>
        <w:rPr>
          <w:b/>
          <w:sz w:val="40"/>
          <w:szCs w:val="40"/>
        </w:rPr>
        <w:tab/>
      </w:r>
      <w:r w:rsidR="00B0588F">
        <w:rPr>
          <w:b/>
          <w:sz w:val="40"/>
          <w:szCs w:val="40"/>
        </w:rPr>
        <w:t>Vorfinanzierungen und zusätzliche Abschreibungen</w:t>
      </w:r>
    </w:p>
    <w:p w:rsidR="00DC0AE3" w:rsidRDefault="003C59E6" w:rsidP="00E218A3">
      <w:pPr>
        <w:pStyle w:val="Listenabsatz"/>
        <w:tabs>
          <w:tab w:val="clear" w:pos="425"/>
          <w:tab w:val="left" w:pos="567"/>
        </w:tabs>
        <w:ind w:hanging="720"/>
      </w:pPr>
      <w:r>
        <w:tab/>
      </w:r>
    </w:p>
    <w:tbl>
      <w:tblPr>
        <w:tblStyle w:val="Tabellenraster"/>
        <w:tblW w:w="0" w:type="auto"/>
        <w:tblLook w:val="04A0" w:firstRow="1" w:lastRow="0" w:firstColumn="1" w:lastColumn="0" w:noHBand="0" w:noVBand="1"/>
      </w:tblPr>
      <w:tblGrid>
        <w:gridCol w:w="999"/>
        <w:gridCol w:w="705"/>
        <w:gridCol w:w="795"/>
        <w:gridCol w:w="751"/>
        <w:gridCol w:w="1616"/>
        <w:gridCol w:w="28"/>
        <w:gridCol w:w="603"/>
        <w:gridCol w:w="843"/>
        <w:gridCol w:w="929"/>
        <w:gridCol w:w="15"/>
        <w:gridCol w:w="1111"/>
        <w:gridCol w:w="1232"/>
      </w:tblGrid>
      <w:tr w:rsidR="00E218A3" w:rsidRPr="0095071A" w:rsidTr="00412FA6">
        <w:trPr>
          <w:trHeight w:val="567"/>
        </w:trPr>
        <w:tc>
          <w:tcPr>
            <w:tcW w:w="9627" w:type="dxa"/>
            <w:gridSpan w:val="12"/>
            <w:tcBorders>
              <w:top w:val="dashed" w:sz="4" w:space="0" w:color="auto"/>
            </w:tcBorders>
            <w:shd w:val="clear" w:color="auto" w:fill="D9D9D9" w:themeFill="background1" w:themeFillShade="D9"/>
            <w:vAlign w:val="center"/>
          </w:tcPr>
          <w:p w:rsidR="00E218A3" w:rsidRPr="0068150C" w:rsidRDefault="00E218A3" w:rsidP="0095071A">
            <w:pPr>
              <w:pStyle w:val="Listenabsatz"/>
              <w:ind w:left="0"/>
              <w:rPr>
                <w:b/>
                <w:sz w:val="24"/>
                <w:szCs w:val="24"/>
              </w:rPr>
            </w:pPr>
            <w:r>
              <w:rPr>
                <w:b/>
                <w:sz w:val="24"/>
                <w:szCs w:val="24"/>
              </w:rPr>
              <w:t>Kontengruppe(n)</w:t>
            </w:r>
          </w:p>
        </w:tc>
      </w:tr>
      <w:tr w:rsidR="00E218A3" w:rsidRPr="0095071A" w:rsidTr="00E218A3">
        <w:trPr>
          <w:trHeight w:val="567"/>
        </w:trPr>
        <w:tc>
          <w:tcPr>
            <w:tcW w:w="9627" w:type="dxa"/>
            <w:gridSpan w:val="12"/>
            <w:shd w:val="clear" w:color="auto" w:fill="auto"/>
            <w:vAlign w:val="center"/>
          </w:tcPr>
          <w:p w:rsidR="00B0588F" w:rsidRDefault="00B0588F" w:rsidP="00EB7672">
            <w:pPr>
              <w:pStyle w:val="Listenabsatz"/>
              <w:ind w:left="0"/>
            </w:pPr>
            <w:r>
              <w:t>2930 Vorfinanzierungen</w:t>
            </w:r>
          </w:p>
          <w:p w:rsidR="00B0588F" w:rsidRDefault="00B0588F" w:rsidP="00EB7672">
            <w:pPr>
              <w:pStyle w:val="Listenabsatz"/>
              <w:ind w:left="0"/>
            </w:pPr>
            <w:r>
              <w:t>2931 Zusätzliche Abschreibungen</w:t>
            </w:r>
          </w:p>
          <w:p w:rsidR="00B0588F" w:rsidRPr="00E218A3" w:rsidRDefault="00B0588F" w:rsidP="00B0588F">
            <w:pPr>
              <w:pStyle w:val="Listenabsatz"/>
              <w:ind w:left="0"/>
            </w:pPr>
            <w:r>
              <w:t>Vorfinanzierungen und zusätzliche Abschreibungen für spezialfinanzierte Bereiche sind unter der entsprechenden Spezialfinanzierung zu buchen (z.B. 2900x.1, 2900x.2).</w:t>
            </w:r>
          </w:p>
        </w:tc>
      </w:tr>
      <w:tr w:rsidR="00F707B9" w:rsidRPr="0095071A" w:rsidTr="0068150C">
        <w:trPr>
          <w:trHeight w:val="567"/>
        </w:trPr>
        <w:tc>
          <w:tcPr>
            <w:tcW w:w="9627" w:type="dxa"/>
            <w:gridSpan w:val="12"/>
            <w:shd w:val="clear" w:color="auto" w:fill="D9D9D9" w:themeFill="background1" w:themeFillShade="D9"/>
            <w:vAlign w:val="center"/>
          </w:tcPr>
          <w:p w:rsidR="00F707B9" w:rsidRPr="0068150C" w:rsidRDefault="00F707B9" w:rsidP="0095071A">
            <w:pPr>
              <w:pStyle w:val="Listenabsatz"/>
              <w:ind w:left="0"/>
              <w:rPr>
                <w:b/>
                <w:sz w:val="24"/>
                <w:szCs w:val="24"/>
              </w:rPr>
            </w:pPr>
            <w:r>
              <w:rPr>
                <w:b/>
                <w:sz w:val="24"/>
                <w:szCs w:val="24"/>
              </w:rPr>
              <w:t>Definition</w:t>
            </w:r>
            <w:r w:rsidR="0025203E">
              <w:rPr>
                <w:b/>
                <w:sz w:val="24"/>
                <w:szCs w:val="24"/>
              </w:rPr>
              <w:t>en</w:t>
            </w:r>
          </w:p>
        </w:tc>
      </w:tr>
      <w:tr w:rsidR="00F707B9" w:rsidRPr="0095071A" w:rsidTr="00F707B9">
        <w:trPr>
          <w:trHeight w:val="567"/>
        </w:trPr>
        <w:tc>
          <w:tcPr>
            <w:tcW w:w="9627" w:type="dxa"/>
            <w:gridSpan w:val="12"/>
            <w:shd w:val="clear" w:color="auto" w:fill="auto"/>
            <w:vAlign w:val="center"/>
          </w:tcPr>
          <w:p w:rsidR="00B0588F" w:rsidRPr="007F3904" w:rsidRDefault="00B0588F" w:rsidP="00B0588F">
            <w:pPr>
              <w:tabs>
                <w:tab w:val="clear" w:pos="425"/>
                <w:tab w:val="clear" w:pos="851"/>
                <w:tab w:val="clear" w:pos="1276"/>
                <w:tab w:val="clear" w:pos="5245"/>
                <w:tab w:val="clear" w:pos="9639"/>
              </w:tabs>
              <w:autoSpaceDE w:val="0"/>
              <w:autoSpaceDN w:val="0"/>
              <w:adjustRightInd w:val="0"/>
              <w:rPr>
                <w:rFonts w:asciiTheme="majorHAnsi" w:hAnsiTheme="majorHAnsi" w:cstheme="majorHAnsi"/>
              </w:rPr>
            </w:pPr>
            <w:r w:rsidRPr="007F3904">
              <w:rPr>
                <w:rFonts w:asciiTheme="majorHAnsi" w:hAnsiTheme="majorHAnsi" w:cstheme="majorHAnsi"/>
                <w:b/>
              </w:rPr>
              <w:t>Vorfinanzierungen</w:t>
            </w:r>
            <w:r w:rsidRPr="007F3904">
              <w:rPr>
                <w:rFonts w:asciiTheme="majorHAnsi" w:hAnsiTheme="majorHAnsi" w:cstheme="majorHAnsi"/>
              </w:rPr>
              <w:t xml:space="preserve"> sind in vergangenen Rechnungsjahren gebildete Reserven zur teilweisen oder vollständigen Finanzierung des Abschreibungsaufwands bestimmter künftiger Investitionsvorhaben und gehören zum Eigenkapital.</w:t>
            </w:r>
          </w:p>
          <w:p w:rsidR="00B0588F" w:rsidRPr="00B0588F" w:rsidRDefault="00B0588F" w:rsidP="00980890">
            <w:pPr>
              <w:tabs>
                <w:tab w:val="clear" w:pos="425"/>
                <w:tab w:val="clear" w:pos="851"/>
                <w:tab w:val="clear" w:pos="1276"/>
                <w:tab w:val="clear" w:pos="5245"/>
                <w:tab w:val="clear" w:pos="9639"/>
              </w:tabs>
              <w:autoSpaceDE w:val="0"/>
              <w:autoSpaceDN w:val="0"/>
              <w:adjustRightInd w:val="0"/>
              <w:rPr>
                <w:rFonts w:ascii="HelveticaNeueLTStd-Lt" w:hAnsi="HelveticaNeueLTStd-Lt" w:cs="HelveticaNeueLTStd-Lt"/>
              </w:rPr>
            </w:pPr>
            <w:r w:rsidRPr="007F3904">
              <w:rPr>
                <w:rFonts w:asciiTheme="majorHAnsi" w:hAnsiTheme="majorHAnsi" w:cstheme="majorHAnsi"/>
                <w:b/>
              </w:rPr>
              <w:t>Zusätzliche Abschreibungen</w:t>
            </w:r>
            <w:r w:rsidRPr="007F3904">
              <w:rPr>
                <w:rFonts w:asciiTheme="majorHAnsi" w:hAnsiTheme="majorHAnsi" w:cstheme="majorHAnsi"/>
              </w:rPr>
              <w:t xml:space="preserve"> sind in vergangenen Rechnungsjahren gebildete Reserven zur teilweisen oder vollständigen Finanzierung des Abschreibungsaufwands bestehender Investitionsobjekte und gehören zum Eigenkapital.</w:t>
            </w:r>
          </w:p>
        </w:tc>
      </w:tr>
      <w:tr w:rsidR="0095071A" w:rsidRPr="0095071A" w:rsidTr="0068150C">
        <w:trPr>
          <w:trHeight w:val="567"/>
        </w:trPr>
        <w:tc>
          <w:tcPr>
            <w:tcW w:w="9627" w:type="dxa"/>
            <w:gridSpan w:val="12"/>
            <w:shd w:val="clear" w:color="auto" w:fill="D9D9D9" w:themeFill="background1" w:themeFillShade="D9"/>
            <w:vAlign w:val="center"/>
          </w:tcPr>
          <w:p w:rsidR="0095071A" w:rsidRPr="0068150C" w:rsidRDefault="0095071A" w:rsidP="0095071A">
            <w:pPr>
              <w:pStyle w:val="Listenabsatz"/>
              <w:ind w:left="0"/>
              <w:rPr>
                <w:b/>
                <w:sz w:val="24"/>
                <w:szCs w:val="24"/>
              </w:rPr>
            </w:pPr>
            <w:r w:rsidRPr="0068150C">
              <w:rPr>
                <w:b/>
                <w:sz w:val="24"/>
                <w:szCs w:val="24"/>
              </w:rPr>
              <w:t>Prüfungsziel</w:t>
            </w:r>
          </w:p>
        </w:tc>
      </w:tr>
      <w:tr w:rsidR="0095071A" w:rsidTr="0068150C">
        <w:trPr>
          <w:trHeight w:val="567"/>
        </w:trPr>
        <w:tc>
          <w:tcPr>
            <w:tcW w:w="9627" w:type="dxa"/>
            <w:gridSpan w:val="12"/>
            <w:vAlign w:val="center"/>
          </w:tcPr>
          <w:p w:rsidR="00245D97" w:rsidRDefault="00D01DDB" w:rsidP="00412FA6">
            <w:pPr>
              <w:pStyle w:val="Listenabsatz"/>
              <w:ind w:left="0"/>
            </w:pPr>
            <w:r>
              <w:t xml:space="preserve">Prüfung </w:t>
            </w:r>
            <w:r w:rsidR="00293EE8">
              <w:t xml:space="preserve">der Vollständigkeit, </w:t>
            </w:r>
            <w:r w:rsidR="006A6567">
              <w:t xml:space="preserve">Korrektheit und </w:t>
            </w:r>
            <w:r w:rsidR="00412FA6">
              <w:t>Ausweis</w:t>
            </w:r>
            <w:r w:rsidR="006A6567">
              <w:t xml:space="preserve"> </w:t>
            </w:r>
          </w:p>
        </w:tc>
      </w:tr>
      <w:tr w:rsidR="0095071A" w:rsidRPr="0095071A" w:rsidTr="0068150C">
        <w:trPr>
          <w:trHeight w:val="567"/>
        </w:trPr>
        <w:tc>
          <w:tcPr>
            <w:tcW w:w="9627" w:type="dxa"/>
            <w:gridSpan w:val="12"/>
            <w:tcBorders>
              <w:bottom w:val="single" w:sz="4" w:space="0" w:color="auto"/>
            </w:tcBorders>
            <w:shd w:val="clear" w:color="auto" w:fill="D9D9D9" w:themeFill="background1" w:themeFillShade="D9"/>
            <w:vAlign w:val="center"/>
          </w:tcPr>
          <w:p w:rsidR="0095071A" w:rsidRPr="0068150C" w:rsidRDefault="00851A4E" w:rsidP="0095071A">
            <w:pPr>
              <w:pStyle w:val="Listenabsatz"/>
              <w:ind w:left="0"/>
              <w:rPr>
                <w:b/>
                <w:sz w:val="24"/>
                <w:szCs w:val="24"/>
              </w:rPr>
            </w:pPr>
            <w:r>
              <w:rPr>
                <w:b/>
                <w:sz w:val="24"/>
                <w:szCs w:val="24"/>
              </w:rPr>
              <w:t>Prüfungsunterlagen</w:t>
            </w:r>
          </w:p>
        </w:tc>
      </w:tr>
      <w:tr w:rsidR="0095071A" w:rsidTr="0068150C">
        <w:trPr>
          <w:trHeight w:val="567"/>
        </w:trPr>
        <w:tc>
          <w:tcPr>
            <w:tcW w:w="9627" w:type="dxa"/>
            <w:gridSpan w:val="12"/>
            <w:tcBorders>
              <w:bottom w:val="single" w:sz="4" w:space="0" w:color="auto"/>
            </w:tcBorders>
            <w:vAlign w:val="center"/>
          </w:tcPr>
          <w:p w:rsidR="006E3EE6" w:rsidRDefault="00B0588F" w:rsidP="0095071A">
            <w:pPr>
              <w:pStyle w:val="Listenabsatz"/>
              <w:ind w:left="0"/>
            </w:pPr>
            <w:r>
              <w:t>Korrespondenz, Projektunterlagen, Ratsbeschlüsse, Zweckbestimmungen</w:t>
            </w:r>
          </w:p>
        </w:tc>
      </w:tr>
      <w:tr w:rsidR="003570A8" w:rsidTr="005C600B">
        <w:trPr>
          <w:trHeight w:val="340"/>
        </w:trPr>
        <w:tc>
          <w:tcPr>
            <w:tcW w:w="3250" w:type="dxa"/>
            <w:gridSpan w:val="4"/>
            <w:tcBorders>
              <w:top w:val="single" w:sz="4" w:space="0" w:color="auto"/>
              <w:left w:val="nil"/>
              <w:bottom w:val="single" w:sz="4" w:space="0" w:color="auto"/>
              <w:right w:val="nil"/>
            </w:tcBorders>
            <w:vAlign w:val="center"/>
          </w:tcPr>
          <w:p w:rsidR="002037DD" w:rsidRPr="0095071A" w:rsidRDefault="002037DD" w:rsidP="0095071A">
            <w:pPr>
              <w:pStyle w:val="Listenabsatz"/>
              <w:ind w:left="0"/>
              <w:rPr>
                <w:b/>
              </w:rPr>
            </w:pPr>
          </w:p>
        </w:tc>
        <w:tc>
          <w:tcPr>
            <w:tcW w:w="3090" w:type="dxa"/>
            <w:gridSpan w:val="4"/>
            <w:tcBorders>
              <w:top w:val="single" w:sz="4" w:space="0" w:color="auto"/>
              <w:left w:val="nil"/>
              <w:bottom w:val="single" w:sz="4" w:space="0" w:color="auto"/>
              <w:right w:val="nil"/>
            </w:tcBorders>
            <w:vAlign w:val="center"/>
          </w:tcPr>
          <w:p w:rsidR="002037DD" w:rsidRDefault="002037DD" w:rsidP="0095071A">
            <w:pPr>
              <w:pStyle w:val="Listenabsatz"/>
              <w:ind w:left="0"/>
            </w:pPr>
          </w:p>
        </w:tc>
        <w:tc>
          <w:tcPr>
            <w:tcW w:w="3287" w:type="dxa"/>
            <w:gridSpan w:val="4"/>
            <w:tcBorders>
              <w:top w:val="single" w:sz="4" w:space="0" w:color="auto"/>
              <w:left w:val="nil"/>
              <w:bottom w:val="single" w:sz="4" w:space="0" w:color="auto"/>
              <w:right w:val="nil"/>
            </w:tcBorders>
            <w:vAlign w:val="center"/>
          </w:tcPr>
          <w:p w:rsidR="002037DD" w:rsidRDefault="002037DD" w:rsidP="0095071A">
            <w:pPr>
              <w:pStyle w:val="Listenabsatz"/>
              <w:ind w:left="0"/>
            </w:pPr>
          </w:p>
        </w:tc>
      </w:tr>
      <w:tr w:rsidR="004E6C17" w:rsidTr="005C600B">
        <w:trPr>
          <w:trHeight w:val="567"/>
        </w:trPr>
        <w:tc>
          <w:tcPr>
            <w:tcW w:w="249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43A5" w:rsidRPr="00EF43A5" w:rsidRDefault="00EF43A5" w:rsidP="00B87333">
            <w:pPr>
              <w:pStyle w:val="Listenabsatz"/>
              <w:ind w:left="0"/>
              <w:rPr>
                <w:b/>
                <w:sz w:val="24"/>
                <w:szCs w:val="24"/>
              </w:rPr>
            </w:pPr>
            <w:r w:rsidRPr="00EF43A5">
              <w:rPr>
                <w:b/>
                <w:sz w:val="24"/>
                <w:szCs w:val="24"/>
              </w:rPr>
              <w:t>RMSG-Handbuch</w:t>
            </w: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EF43A5" w:rsidRDefault="00E218A3" w:rsidP="00B87333">
            <w:pPr>
              <w:pStyle w:val="Listenabsatz"/>
              <w:ind w:left="0"/>
            </w:pPr>
            <w:r>
              <w:t xml:space="preserve">Kapitel </w:t>
            </w:r>
            <w:r w:rsidR="00B0588F">
              <w:t>13.2, 13.3</w:t>
            </w:r>
          </w:p>
        </w:tc>
        <w:tc>
          <w:tcPr>
            <w:tcW w:w="23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43A5" w:rsidRPr="00EF43A5" w:rsidRDefault="00EF43A5" w:rsidP="00EF43A5">
            <w:pPr>
              <w:pStyle w:val="Listenabsatz"/>
              <w:ind w:left="0"/>
              <w:rPr>
                <w:b/>
                <w:sz w:val="24"/>
                <w:szCs w:val="24"/>
              </w:rPr>
            </w:pPr>
            <w:r w:rsidRPr="00EF43A5">
              <w:rPr>
                <w:b/>
                <w:sz w:val="24"/>
                <w:szCs w:val="24"/>
              </w:rPr>
              <w:t>Gesetzl</w:t>
            </w:r>
            <w:r>
              <w:rPr>
                <w:b/>
                <w:sz w:val="24"/>
                <w:szCs w:val="24"/>
              </w:rPr>
              <w:t xml:space="preserve">iche </w:t>
            </w:r>
            <w:r w:rsidRPr="00EF43A5">
              <w:rPr>
                <w:b/>
                <w:sz w:val="24"/>
                <w:szCs w:val="24"/>
              </w:rPr>
              <w:t>Grundlagen</w:t>
            </w:r>
          </w:p>
        </w:tc>
        <w:tc>
          <w:tcPr>
            <w:tcW w:w="2343" w:type="dxa"/>
            <w:gridSpan w:val="2"/>
            <w:tcBorders>
              <w:top w:val="single" w:sz="4" w:space="0" w:color="auto"/>
              <w:left w:val="single" w:sz="4" w:space="0" w:color="auto"/>
              <w:bottom w:val="single" w:sz="4" w:space="0" w:color="auto"/>
              <w:right w:val="single" w:sz="4" w:space="0" w:color="auto"/>
            </w:tcBorders>
            <w:vAlign w:val="center"/>
          </w:tcPr>
          <w:p w:rsidR="00CF35C8" w:rsidRDefault="00CF35C8" w:rsidP="00B87333">
            <w:pPr>
              <w:pStyle w:val="Listenabsatz"/>
              <w:ind w:left="0"/>
            </w:pPr>
            <w:r>
              <w:t xml:space="preserve">Art. </w:t>
            </w:r>
            <w:r w:rsidR="00780FE8">
              <w:t>110</w:t>
            </w:r>
            <w:r w:rsidR="004F6BA9">
              <w:t>o, 110p</w:t>
            </w:r>
            <w:r>
              <w:t xml:space="preserve"> </w:t>
            </w:r>
            <w:r w:rsidR="001E1E67">
              <w:t xml:space="preserve">GG </w:t>
            </w:r>
          </w:p>
          <w:p w:rsidR="00EF43A5" w:rsidRDefault="00CF35C8" w:rsidP="00780FE8">
            <w:pPr>
              <w:pStyle w:val="Listenabsatz"/>
              <w:ind w:left="0"/>
            </w:pPr>
            <w:r>
              <w:t xml:space="preserve">Art. </w:t>
            </w:r>
            <w:r w:rsidR="004F6BA9">
              <w:t>14, 15</w:t>
            </w:r>
            <w:r>
              <w:t xml:space="preserve"> </w:t>
            </w:r>
            <w:r w:rsidR="001E1E67">
              <w:t>FHGV</w:t>
            </w:r>
          </w:p>
        </w:tc>
      </w:tr>
      <w:tr w:rsidR="003C1505" w:rsidTr="005C600B">
        <w:trPr>
          <w:trHeight w:val="340"/>
        </w:trPr>
        <w:tc>
          <w:tcPr>
            <w:tcW w:w="3250" w:type="dxa"/>
            <w:gridSpan w:val="4"/>
            <w:tcBorders>
              <w:top w:val="single" w:sz="4" w:space="0" w:color="auto"/>
              <w:left w:val="nil"/>
              <w:bottom w:val="nil"/>
              <w:right w:val="nil"/>
            </w:tcBorders>
            <w:shd w:val="clear" w:color="auto" w:fill="auto"/>
            <w:vAlign w:val="center"/>
          </w:tcPr>
          <w:p w:rsidR="003C1505" w:rsidRDefault="003C1505" w:rsidP="0095071A">
            <w:pPr>
              <w:pStyle w:val="Listenabsatz"/>
              <w:ind w:left="0"/>
              <w:rPr>
                <w:b/>
              </w:rPr>
            </w:pPr>
          </w:p>
        </w:tc>
        <w:tc>
          <w:tcPr>
            <w:tcW w:w="3090" w:type="dxa"/>
            <w:gridSpan w:val="4"/>
            <w:tcBorders>
              <w:top w:val="single" w:sz="4" w:space="0" w:color="auto"/>
              <w:left w:val="nil"/>
              <w:bottom w:val="nil"/>
              <w:right w:val="nil"/>
            </w:tcBorders>
            <w:shd w:val="clear" w:color="auto" w:fill="auto"/>
            <w:vAlign w:val="center"/>
          </w:tcPr>
          <w:p w:rsidR="003C1505" w:rsidRDefault="003C1505" w:rsidP="0095071A">
            <w:pPr>
              <w:pStyle w:val="Listenabsatz"/>
              <w:ind w:left="0"/>
            </w:pPr>
          </w:p>
        </w:tc>
        <w:tc>
          <w:tcPr>
            <w:tcW w:w="3287" w:type="dxa"/>
            <w:gridSpan w:val="4"/>
            <w:tcBorders>
              <w:top w:val="single" w:sz="4" w:space="0" w:color="auto"/>
              <w:left w:val="nil"/>
              <w:bottom w:val="nil"/>
              <w:right w:val="nil"/>
            </w:tcBorders>
            <w:shd w:val="clear" w:color="auto" w:fill="auto"/>
            <w:vAlign w:val="center"/>
          </w:tcPr>
          <w:p w:rsidR="003C1505" w:rsidRDefault="003C1505" w:rsidP="0095071A">
            <w:pPr>
              <w:pStyle w:val="Listenabsatz"/>
              <w:ind w:left="0"/>
            </w:pPr>
          </w:p>
        </w:tc>
      </w:tr>
      <w:tr w:rsidR="003C1505" w:rsidTr="005C600B">
        <w:trPr>
          <w:trHeight w:val="567"/>
        </w:trPr>
        <w:tc>
          <w:tcPr>
            <w:tcW w:w="249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505" w:rsidRPr="00EF43A5" w:rsidRDefault="003C1505" w:rsidP="00FF70A4">
            <w:pPr>
              <w:pStyle w:val="Listenabsatz"/>
              <w:ind w:left="0"/>
              <w:rPr>
                <w:b/>
                <w:sz w:val="24"/>
                <w:szCs w:val="24"/>
              </w:rPr>
            </w:pPr>
            <w:r>
              <w:rPr>
                <w:b/>
                <w:sz w:val="24"/>
                <w:szCs w:val="24"/>
              </w:rPr>
              <w:t>Bestand per 01.01.</w:t>
            </w:r>
          </w:p>
        </w:tc>
        <w:tc>
          <w:tcPr>
            <w:tcW w:w="2367" w:type="dxa"/>
            <w:gridSpan w:val="2"/>
            <w:tcBorders>
              <w:top w:val="single" w:sz="4" w:space="0" w:color="auto"/>
              <w:left w:val="single" w:sz="4" w:space="0" w:color="auto"/>
              <w:bottom w:val="single" w:sz="4" w:space="0" w:color="auto"/>
              <w:right w:val="single" w:sz="4" w:space="0" w:color="auto"/>
            </w:tcBorders>
            <w:vAlign w:val="center"/>
          </w:tcPr>
          <w:p w:rsidR="003C1505" w:rsidRDefault="003C1505" w:rsidP="00FF70A4">
            <w:pPr>
              <w:pStyle w:val="Listenabsatz"/>
              <w:ind w:left="0"/>
            </w:pPr>
            <w:r>
              <w:t>Fr.</w:t>
            </w:r>
          </w:p>
        </w:tc>
        <w:tc>
          <w:tcPr>
            <w:tcW w:w="24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505" w:rsidRPr="00EF43A5" w:rsidRDefault="003C1505" w:rsidP="00FF70A4">
            <w:pPr>
              <w:pStyle w:val="Listenabsatz"/>
              <w:ind w:left="0"/>
              <w:rPr>
                <w:b/>
                <w:sz w:val="24"/>
                <w:szCs w:val="24"/>
              </w:rPr>
            </w:pPr>
            <w:r>
              <w:rPr>
                <w:b/>
                <w:sz w:val="24"/>
                <w:szCs w:val="24"/>
              </w:rPr>
              <w:t>Bestand per 31.12.</w:t>
            </w:r>
          </w:p>
        </w:tc>
        <w:tc>
          <w:tcPr>
            <w:tcW w:w="2358" w:type="dxa"/>
            <w:gridSpan w:val="3"/>
            <w:tcBorders>
              <w:top w:val="single" w:sz="4" w:space="0" w:color="auto"/>
              <w:left w:val="single" w:sz="4" w:space="0" w:color="auto"/>
              <w:bottom w:val="single" w:sz="4" w:space="0" w:color="auto"/>
              <w:right w:val="single" w:sz="4" w:space="0" w:color="auto"/>
            </w:tcBorders>
            <w:vAlign w:val="center"/>
          </w:tcPr>
          <w:p w:rsidR="003C1505" w:rsidRDefault="003C1505" w:rsidP="00FF70A4">
            <w:pPr>
              <w:pStyle w:val="Listenabsatz"/>
              <w:ind w:left="0"/>
            </w:pPr>
            <w:r>
              <w:t>Fr.</w:t>
            </w:r>
          </w:p>
        </w:tc>
      </w:tr>
      <w:tr w:rsidR="00886FCC" w:rsidTr="005C600B">
        <w:trPr>
          <w:trHeight w:val="340"/>
        </w:trPr>
        <w:tc>
          <w:tcPr>
            <w:tcW w:w="3250" w:type="dxa"/>
            <w:gridSpan w:val="4"/>
            <w:tcBorders>
              <w:top w:val="nil"/>
              <w:left w:val="nil"/>
              <w:bottom w:val="nil"/>
              <w:right w:val="nil"/>
            </w:tcBorders>
            <w:shd w:val="clear" w:color="auto" w:fill="auto"/>
            <w:vAlign w:val="center"/>
          </w:tcPr>
          <w:p w:rsidR="00886FCC" w:rsidRPr="0095071A" w:rsidRDefault="00886FCC" w:rsidP="0095071A">
            <w:pPr>
              <w:pStyle w:val="Listenabsatz"/>
              <w:ind w:left="0"/>
              <w:rPr>
                <w:b/>
              </w:rPr>
            </w:pPr>
          </w:p>
        </w:tc>
        <w:tc>
          <w:tcPr>
            <w:tcW w:w="3090" w:type="dxa"/>
            <w:gridSpan w:val="4"/>
            <w:tcBorders>
              <w:top w:val="nil"/>
              <w:left w:val="nil"/>
              <w:bottom w:val="nil"/>
              <w:right w:val="nil"/>
            </w:tcBorders>
            <w:shd w:val="clear" w:color="auto" w:fill="auto"/>
            <w:vAlign w:val="center"/>
          </w:tcPr>
          <w:p w:rsidR="00886FCC" w:rsidRDefault="00886FCC" w:rsidP="0095071A">
            <w:pPr>
              <w:pStyle w:val="Listenabsatz"/>
              <w:ind w:left="0"/>
            </w:pPr>
          </w:p>
        </w:tc>
        <w:tc>
          <w:tcPr>
            <w:tcW w:w="3287" w:type="dxa"/>
            <w:gridSpan w:val="4"/>
            <w:tcBorders>
              <w:top w:val="nil"/>
              <w:left w:val="nil"/>
              <w:bottom w:val="nil"/>
              <w:right w:val="nil"/>
            </w:tcBorders>
            <w:shd w:val="clear" w:color="auto" w:fill="auto"/>
            <w:vAlign w:val="center"/>
          </w:tcPr>
          <w:p w:rsidR="00886FCC" w:rsidRDefault="00886FCC" w:rsidP="0095071A">
            <w:pPr>
              <w:pStyle w:val="Listenabsatz"/>
              <w:ind w:left="0"/>
            </w:pPr>
          </w:p>
        </w:tc>
      </w:tr>
      <w:tr w:rsidR="0093065B" w:rsidTr="005C600B">
        <w:trPr>
          <w:trHeight w:val="340"/>
        </w:trPr>
        <w:tc>
          <w:tcPr>
            <w:tcW w:w="3250" w:type="dxa"/>
            <w:gridSpan w:val="4"/>
            <w:tcBorders>
              <w:top w:val="nil"/>
              <w:left w:val="nil"/>
              <w:bottom w:val="nil"/>
              <w:right w:val="nil"/>
            </w:tcBorders>
            <w:shd w:val="clear" w:color="auto" w:fill="auto"/>
            <w:vAlign w:val="center"/>
          </w:tcPr>
          <w:p w:rsidR="00E218A3" w:rsidRPr="0095071A" w:rsidRDefault="00E218A3" w:rsidP="0095071A">
            <w:pPr>
              <w:pStyle w:val="Listenabsatz"/>
              <w:ind w:left="0"/>
              <w:rPr>
                <w:b/>
              </w:rPr>
            </w:pPr>
          </w:p>
        </w:tc>
        <w:tc>
          <w:tcPr>
            <w:tcW w:w="3090" w:type="dxa"/>
            <w:gridSpan w:val="4"/>
            <w:tcBorders>
              <w:top w:val="nil"/>
              <w:left w:val="nil"/>
              <w:bottom w:val="nil"/>
              <w:right w:val="nil"/>
            </w:tcBorders>
            <w:shd w:val="clear" w:color="auto" w:fill="auto"/>
            <w:vAlign w:val="center"/>
          </w:tcPr>
          <w:p w:rsidR="0093065B" w:rsidRDefault="0093065B" w:rsidP="0095071A">
            <w:pPr>
              <w:pStyle w:val="Listenabsatz"/>
              <w:ind w:left="0"/>
            </w:pPr>
          </w:p>
        </w:tc>
        <w:tc>
          <w:tcPr>
            <w:tcW w:w="3287" w:type="dxa"/>
            <w:gridSpan w:val="4"/>
            <w:tcBorders>
              <w:top w:val="nil"/>
              <w:left w:val="nil"/>
              <w:bottom w:val="nil"/>
              <w:right w:val="nil"/>
            </w:tcBorders>
            <w:shd w:val="clear" w:color="auto" w:fill="auto"/>
            <w:vAlign w:val="center"/>
          </w:tcPr>
          <w:p w:rsidR="0093065B" w:rsidRDefault="0093065B" w:rsidP="0095071A">
            <w:pPr>
              <w:pStyle w:val="Listenabsatz"/>
              <w:ind w:left="0"/>
            </w:pPr>
          </w:p>
        </w:tc>
      </w:tr>
      <w:tr w:rsidR="00886FCC" w:rsidTr="004F096A">
        <w:trPr>
          <w:trHeight w:val="340"/>
        </w:trPr>
        <w:tc>
          <w:tcPr>
            <w:tcW w:w="9627" w:type="dxa"/>
            <w:gridSpan w:val="12"/>
            <w:tcBorders>
              <w:top w:val="nil"/>
              <w:left w:val="nil"/>
              <w:bottom w:val="nil"/>
              <w:right w:val="nil"/>
            </w:tcBorders>
            <w:vAlign w:val="center"/>
          </w:tcPr>
          <w:p w:rsidR="00886FCC" w:rsidRPr="00886FCC" w:rsidRDefault="00886FCC" w:rsidP="00833EA6">
            <w:pPr>
              <w:pStyle w:val="Listenabsatz"/>
              <w:ind w:left="-112"/>
              <w:rPr>
                <w:b/>
                <w:sz w:val="28"/>
                <w:szCs w:val="28"/>
              </w:rPr>
            </w:pPr>
            <w:r w:rsidRPr="00886FCC">
              <w:rPr>
                <w:b/>
                <w:sz w:val="28"/>
                <w:szCs w:val="28"/>
              </w:rPr>
              <w:t>Prüfungshandlungen</w:t>
            </w:r>
          </w:p>
          <w:p w:rsidR="00886FCC" w:rsidRPr="00886FCC" w:rsidRDefault="00886FCC" w:rsidP="00833EA6">
            <w:pPr>
              <w:pStyle w:val="Listenabsatz"/>
              <w:ind w:left="-112"/>
              <w:rPr>
                <w:sz w:val="16"/>
                <w:szCs w:val="16"/>
              </w:rPr>
            </w:pPr>
            <w:r w:rsidRPr="00886FCC">
              <w:rPr>
                <w:sz w:val="16"/>
                <w:szCs w:val="16"/>
              </w:rPr>
              <w:t>(Mindestprüfhandlungen sind mit einem Stern* gekennzeichnet)</w:t>
            </w:r>
          </w:p>
        </w:tc>
      </w:tr>
      <w:tr w:rsidR="004E6C17" w:rsidTr="005C600B">
        <w:trPr>
          <w:trHeight w:val="170"/>
        </w:trPr>
        <w:tc>
          <w:tcPr>
            <w:tcW w:w="1704" w:type="dxa"/>
            <w:gridSpan w:val="2"/>
            <w:tcBorders>
              <w:top w:val="nil"/>
              <w:left w:val="nil"/>
              <w:bottom w:val="single" w:sz="4" w:space="0" w:color="auto"/>
              <w:right w:val="nil"/>
            </w:tcBorders>
            <w:vAlign w:val="center"/>
          </w:tcPr>
          <w:p w:rsidR="002037DD" w:rsidRDefault="002037DD" w:rsidP="0095071A">
            <w:pPr>
              <w:pStyle w:val="Listenabsatz"/>
              <w:ind w:left="0"/>
            </w:pPr>
          </w:p>
        </w:tc>
        <w:tc>
          <w:tcPr>
            <w:tcW w:w="1546" w:type="dxa"/>
            <w:gridSpan w:val="2"/>
            <w:tcBorders>
              <w:top w:val="nil"/>
              <w:left w:val="nil"/>
              <w:bottom w:val="nil"/>
              <w:right w:val="nil"/>
            </w:tcBorders>
            <w:vAlign w:val="center"/>
          </w:tcPr>
          <w:p w:rsidR="002037DD" w:rsidRDefault="002037DD" w:rsidP="0095071A">
            <w:pPr>
              <w:pStyle w:val="Listenabsatz"/>
              <w:ind w:left="0"/>
            </w:pPr>
          </w:p>
        </w:tc>
        <w:tc>
          <w:tcPr>
            <w:tcW w:w="2247" w:type="dxa"/>
            <w:gridSpan w:val="3"/>
            <w:tcBorders>
              <w:top w:val="nil"/>
              <w:left w:val="nil"/>
              <w:bottom w:val="nil"/>
              <w:right w:val="nil"/>
            </w:tcBorders>
            <w:vAlign w:val="center"/>
          </w:tcPr>
          <w:p w:rsidR="002037DD" w:rsidRDefault="002037DD" w:rsidP="0095071A">
            <w:pPr>
              <w:pStyle w:val="Listenabsatz"/>
              <w:ind w:left="0"/>
            </w:pPr>
          </w:p>
        </w:tc>
        <w:tc>
          <w:tcPr>
            <w:tcW w:w="2898" w:type="dxa"/>
            <w:gridSpan w:val="4"/>
            <w:tcBorders>
              <w:top w:val="nil"/>
              <w:left w:val="nil"/>
              <w:bottom w:val="nil"/>
              <w:right w:val="nil"/>
            </w:tcBorders>
            <w:vAlign w:val="center"/>
          </w:tcPr>
          <w:p w:rsidR="002037DD" w:rsidRDefault="002037DD" w:rsidP="0095071A">
            <w:pPr>
              <w:pStyle w:val="Listenabsatz"/>
              <w:ind w:left="0"/>
            </w:pPr>
          </w:p>
        </w:tc>
        <w:tc>
          <w:tcPr>
            <w:tcW w:w="1232" w:type="dxa"/>
            <w:tcBorders>
              <w:top w:val="nil"/>
              <w:left w:val="nil"/>
              <w:bottom w:val="nil"/>
              <w:right w:val="nil"/>
            </w:tcBorders>
            <w:vAlign w:val="center"/>
          </w:tcPr>
          <w:p w:rsidR="002037DD" w:rsidRDefault="002037DD" w:rsidP="0095071A">
            <w:pPr>
              <w:pStyle w:val="Listenabsatz"/>
              <w:ind w:left="0"/>
            </w:pPr>
          </w:p>
        </w:tc>
      </w:tr>
      <w:tr w:rsidR="00886FCC" w:rsidRPr="00886FCC" w:rsidTr="005C600B">
        <w:trPr>
          <w:trHeight w:val="567"/>
        </w:trPr>
        <w:tc>
          <w:tcPr>
            <w:tcW w:w="999"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886FCC" w:rsidRPr="00886FCC" w:rsidRDefault="00335147" w:rsidP="004F6BA9">
            <w:pPr>
              <w:pStyle w:val="Listenabsatz"/>
              <w:ind w:left="0"/>
              <w:rPr>
                <w:b/>
                <w:sz w:val="24"/>
                <w:szCs w:val="24"/>
              </w:rPr>
            </w:pPr>
            <w:r>
              <w:rPr>
                <w:b/>
                <w:sz w:val="24"/>
                <w:szCs w:val="24"/>
              </w:rPr>
              <w:t>22.</w:t>
            </w:r>
            <w:r w:rsidR="00886FCC" w:rsidRPr="00886FCC">
              <w:rPr>
                <w:b/>
                <w:sz w:val="24"/>
                <w:szCs w:val="24"/>
              </w:rPr>
              <w:t>1</w:t>
            </w:r>
          </w:p>
        </w:tc>
        <w:tc>
          <w:tcPr>
            <w:tcW w:w="3895" w:type="dxa"/>
            <w:gridSpan w:val="5"/>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886FCC" w:rsidRPr="00886FCC" w:rsidRDefault="00886FCC" w:rsidP="00245D97">
            <w:pPr>
              <w:pStyle w:val="Listenabsatz"/>
              <w:ind w:left="0"/>
              <w:rPr>
                <w:b/>
                <w:sz w:val="24"/>
                <w:szCs w:val="24"/>
              </w:rPr>
            </w:pPr>
            <w:r w:rsidRPr="00886FCC">
              <w:rPr>
                <w:b/>
                <w:sz w:val="24"/>
                <w:szCs w:val="24"/>
              </w:rPr>
              <w:t>Bestandes- und Bewertungsprüfungen</w:t>
            </w:r>
          </w:p>
        </w:tc>
        <w:tc>
          <w:tcPr>
            <w:tcW w:w="603"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886FCC" w:rsidRPr="00886FCC" w:rsidRDefault="00886FCC" w:rsidP="00526FC6">
            <w:pPr>
              <w:pStyle w:val="Listenabsatz"/>
              <w:ind w:left="0"/>
              <w:jc w:val="center"/>
              <w:rPr>
                <w:b/>
                <w:sz w:val="24"/>
                <w:szCs w:val="24"/>
              </w:rPr>
            </w:pPr>
            <w:proofErr w:type="spellStart"/>
            <w:r w:rsidRPr="00886FCC">
              <w:rPr>
                <w:b/>
                <w:sz w:val="24"/>
                <w:szCs w:val="24"/>
              </w:rPr>
              <w:t>i.O</w:t>
            </w:r>
            <w:proofErr w:type="spellEnd"/>
            <w:r w:rsidRPr="00886FCC">
              <w:rPr>
                <w:b/>
                <w:sz w:val="24"/>
                <w:szCs w:val="24"/>
              </w:rPr>
              <w:t>.</w:t>
            </w:r>
          </w:p>
        </w:tc>
        <w:tc>
          <w:tcPr>
            <w:tcW w:w="2898" w:type="dxa"/>
            <w:gridSpan w:val="4"/>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886FCC" w:rsidRPr="00886FCC" w:rsidRDefault="00886FCC" w:rsidP="00526FC6">
            <w:pPr>
              <w:pStyle w:val="Listenabsatz"/>
              <w:ind w:left="0"/>
              <w:rPr>
                <w:b/>
                <w:sz w:val="24"/>
                <w:szCs w:val="24"/>
              </w:rPr>
            </w:pPr>
            <w:r w:rsidRPr="00886FCC">
              <w:rPr>
                <w:b/>
                <w:sz w:val="24"/>
                <w:szCs w:val="24"/>
              </w:rPr>
              <w:t>Feststellungen, Bemerkungen</w:t>
            </w:r>
          </w:p>
        </w:tc>
        <w:tc>
          <w:tcPr>
            <w:tcW w:w="1232"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886FCC" w:rsidRPr="00886FCC" w:rsidRDefault="00886FCC" w:rsidP="00526FC6">
            <w:pPr>
              <w:pStyle w:val="Listenabsatz"/>
              <w:ind w:left="0"/>
              <w:rPr>
                <w:b/>
                <w:sz w:val="24"/>
                <w:szCs w:val="24"/>
              </w:rPr>
            </w:pPr>
            <w:r w:rsidRPr="00886FCC">
              <w:rPr>
                <w:b/>
                <w:sz w:val="24"/>
                <w:szCs w:val="24"/>
              </w:rPr>
              <w:t>Referenz</w:t>
            </w:r>
          </w:p>
        </w:tc>
      </w:tr>
      <w:tr w:rsidR="00CD6713" w:rsidTr="005C600B">
        <w:trPr>
          <w:trHeight w:val="567"/>
        </w:trPr>
        <w:tc>
          <w:tcPr>
            <w:tcW w:w="999" w:type="dxa"/>
            <w:tcBorders>
              <w:top w:val="single" w:sz="4" w:space="0" w:color="auto"/>
              <w:left w:val="single" w:sz="4" w:space="0" w:color="auto"/>
              <w:bottom w:val="dashed" w:sz="4" w:space="0" w:color="auto"/>
              <w:right w:val="single" w:sz="4" w:space="0" w:color="auto"/>
            </w:tcBorders>
            <w:vAlign w:val="center"/>
          </w:tcPr>
          <w:p w:rsidR="00CD6713" w:rsidRDefault="00335147" w:rsidP="004F6BA9">
            <w:pPr>
              <w:pStyle w:val="Listenabsatz"/>
              <w:ind w:left="0"/>
            </w:pPr>
            <w:r>
              <w:t>22.</w:t>
            </w:r>
            <w:r w:rsidR="00E218A3">
              <w:t>1</w:t>
            </w:r>
            <w:r w:rsidR="00CD6713">
              <w:t>.1</w:t>
            </w:r>
            <w:r w:rsidR="00CD6713" w:rsidRPr="00F81D8A">
              <w:rPr>
                <w:b/>
              </w:rPr>
              <w:t>*</w:t>
            </w:r>
          </w:p>
        </w:tc>
        <w:tc>
          <w:tcPr>
            <w:tcW w:w="3895" w:type="dxa"/>
            <w:gridSpan w:val="5"/>
            <w:tcBorders>
              <w:top w:val="single" w:sz="4" w:space="0" w:color="auto"/>
              <w:left w:val="single" w:sz="4" w:space="0" w:color="auto"/>
              <w:bottom w:val="dashed" w:sz="4" w:space="0" w:color="auto"/>
              <w:right w:val="single" w:sz="4" w:space="0" w:color="auto"/>
            </w:tcBorders>
            <w:vAlign w:val="center"/>
          </w:tcPr>
          <w:p w:rsidR="00CD6713" w:rsidRDefault="007E7275" w:rsidP="004F6BA9">
            <w:pPr>
              <w:pStyle w:val="Listenabsatz"/>
              <w:ind w:left="0"/>
            </w:pPr>
            <w:r>
              <w:t xml:space="preserve">Stimmt der Bilanzbestand der </w:t>
            </w:r>
            <w:r w:rsidR="004F6BA9">
              <w:t xml:space="preserve">Vorfinanzierungen </w:t>
            </w:r>
            <w:r>
              <w:t>mit der Buchhaltung überein?</w:t>
            </w:r>
          </w:p>
        </w:tc>
        <w:sdt>
          <w:sdtPr>
            <w:id w:val="-1409768449"/>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dashed" w:sz="4" w:space="0" w:color="auto"/>
                  <w:right w:val="single" w:sz="4" w:space="0" w:color="auto"/>
                </w:tcBorders>
                <w:vAlign w:val="center"/>
              </w:tcPr>
              <w:p w:rsidR="00CD6713" w:rsidRDefault="00E218A3" w:rsidP="00526FC6">
                <w:pPr>
                  <w:pStyle w:val="Listenabsatz"/>
                  <w:ind w:left="0"/>
                  <w:jc w:val="center"/>
                </w:pPr>
                <w:r>
                  <w:rPr>
                    <w:rFonts w:ascii="MS Gothic" w:eastAsia="MS Gothic" w:hAnsi="MS Gothic" w:hint="eastAsia"/>
                  </w:rPr>
                  <w:t>☐</w:t>
                </w:r>
              </w:p>
            </w:tc>
          </w:sdtContent>
        </w:sdt>
        <w:tc>
          <w:tcPr>
            <w:tcW w:w="2898" w:type="dxa"/>
            <w:gridSpan w:val="4"/>
            <w:tcBorders>
              <w:top w:val="single" w:sz="4" w:space="0" w:color="auto"/>
              <w:left w:val="single" w:sz="4" w:space="0" w:color="auto"/>
              <w:bottom w:val="dashed" w:sz="4" w:space="0" w:color="auto"/>
              <w:right w:val="single" w:sz="4" w:space="0" w:color="auto"/>
            </w:tcBorders>
            <w:vAlign w:val="center"/>
          </w:tcPr>
          <w:p w:rsidR="00CD6713" w:rsidRDefault="00CD6713" w:rsidP="00526FC6">
            <w:pPr>
              <w:pStyle w:val="Listenabsatz"/>
              <w:ind w:left="0"/>
            </w:pPr>
          </w:p>
        </w:tc>
        <w:tc>
          <w:tcPr>
            <w:tcW w:w="1232" w:type="dxa"/>
            <w:tcBorders>
              <w:top w:val="single" w:sz="4" w:space="0" w:color="auto"/>
              <w:left w:val="single" w:sz="4" w:space="0" w:color="auto"/>
              <w:bottom w:val="dashed" w:sz="4" w:space="0" w:color="auto"/>
              <w:right w:val="single" w:sz="4" w:space="0" w:color="auto"/>
            </w:tcBorders>
            <w:vAlign w:val="center"/>
          </w:tcPr>
          <w:p w:rsidR="00CD6713" w:rsidRDefault="00CD6713" w:rsidP="00526FC6">
            <w:pPr>
              <w:pStyle w:val="Listenabsatz"/>
              <w:ind w:left="0"/>
            </w:pPr>
          </w:p>
        </w:tc>
      </w:tr>
      <w:tr w:rsidR="007F3904" w:rsidTr="005C600B">
        <w:trPr>
          <w:trHeight w:val="567"/>
        </w:trPr>
        <w:tc>
          <w:tcPr>
            <w:tcW w:w="999" w:type="dxa"/>
            <w:tcBorders>
              <w:top w:val="dashed" w:sz="4" w:space="0" w:color="auto"/>
              <w:left w:val="single" w:sz="4" w:space="0" w:color="auto"/>
              <w:bottom w:val="dashed" w:sz="4" w:space="0" w:color="auto"/>
              <w:right w:val="single" w:sz="4" w:space="0" w:color="auto"/>
            </w:tcBorders>
            <w:vAlign w:val="center"/>
          </w:tcPr>
          <w:p w:rsidR="007F3904" w:rsidRDefault="00335147" w:rsidP="007F3904">
            <w:pPr>
              <w:pStyle w:val="Listenabsatz"/>
              <w:ind w:left="0"/>
            </w:pPr>
            <w:r>
              <w:t>22.</w:t>
            </w:r>
            <w:r w:rsidR="007F3904">
              <w:t>1.2*</w:t>
            </w:r>
          </w:p>
        </w:tc>
        <w:tc>
          <w:tcPr>
            <w:tcW w:w="3895" w:type="dxa"/>
            <w:gridSpan w:val="5"/>
            <w:tcBorders>
              <w:top w:val="dashed" w:sz="4" w:space="0" w:color="auto"/>
              <w:left w:val="single" w:sz="4" w:space="0" w:color="auto"/>
              <w:bottom w:val="dashed" w:sz="4" w:space="0" w:color="auto"/>
              <w:right w:val="single" w:sz="4" w:space="0" w:color="auto"/>
            </w:tcBorders>
            <w:vAlign w:val="center"/>
          </w:tcPr>
          <w:p w:rsidR="007F3904" w:rsidRDefault="007F3904" w:rsidP="007F3904">
            <w:pPr>
              <w:pStyle w:val="Listenabsatz"/>
              <w:ind w:left="0"/>
            </w:pPr>
            <w:r>
              <w:t>Ist der Ausweis der Vorfinanzierungen in der Bilanz korrekt (für jede Vorfinanzierung ist ein separates Unterkonto zu führen)?</w:t>
            </w:r>
          </w:p>
        </w:tc>
        <w:sdt>
          <w:sdtPr>
            <w:id w:val="-395975131"/>
            <w14:checkbox>
              <w14:checked w14:val="0"/>
              <w14:checkedState w14:val="2612" w14:font="MS Gothic"/>
              <w14:uncheckedState w14:val="2610" w14:font="MS Gothic"/>
            </w14:checkbox>
          </w:sdtPr>
          <w:sdtEndPr/>
          <w:sdtContent>
            <w:tc>
              <w:tcPr>
                <w:tcW w:w="603" w:type="dxa"/>
                <w:tcBorders>
                  <w:top w:val="dashed" w:sz="4" w:space="0" w:color="auto"/>
                  <w:left w:val="single" w:sz="4" w:space="0" w:color="auto"/>
                  <w:bottom w:val="dashed" w:sz="4" w:space="0" w:color="auto"/>
                  <w:right w:val="single" w:sz="4" w:space="0" w:color="auto"/>
                </w:tcBorders>
                <w:vAlign w:val="center"/>
              </w:tcPr>
              <w:p w:rsidR="007F3904" w:rsidRDefault="007F3904" w:rsidP="007F3904">
                <w:pPr>
                  <w:pStyle w:val="Listenabsatz"/>
                  <w:ind w:left="0"/>
                  <w:jc w:val="center"/>
                </w:pPr>
                <w:r>
                  <w:rPr>
                    <w:rFonts w:ascii="MS Gothic" w:eastAsia="MS Gothic" w:hAnsi="MS Gothic" w:hint="eastAsia"/>
                  </w:rPr>
                  <w:t>☐</w:t>
                </w:r>
              </w:p>
            </w:tc>
          </w:sdtContent>
        </w:sdt>
        <w:tc>
          <w:tcPr>
            <w:tcW w:w="2898" w:type="dxa"/>
            <w:gridSpan w:val="4"/>
            <w:tcBorders>
              <w:top w:val="dashed" w:sz="4" w:space="0" w:color="auto"/>
              <w:left w:val="single" w:sz="4" w:space="0" w:color="auto"/>
              <w:bottom w:val="dashed" w:sz="4" w:space="0" w:color="auto"/>
              <w:right w:val="single" w:sz="4" w:space="0" w:color="auto"/>
            </w:tcBorders>
            <w:vAlign w:val="center"/>
          </w:tcPr>
          <w:p w:rsidR="007F3904" w:rsidRDefault="007F3904" w:rsidP="007F3904">
            <w:pPr>
              <w:pStyle w:val="Listenabsatz"/>
              <w:ind w:left="0"/>
            </w:pPr>
          </w:p>
        </w:tc>
        <w:tc>
          <w:tcPr>
            <w:tcW w:w="1232" w:type="dxa"/>
            <w:tcBorders>
              <w:top w:val="dashed" w:sz="4" w:space="0" w:color="auto"/>
              <w:left w:val="single" w:sz="4" w:space="0" w:color="auto"/>
              <w:bottom w:val="dashed" w:sz="4" w:space="0" w:color="auto"/>
              <w:right w:val="single" w:sz="4" w:space="0" w:color="auto"/>
            </w:tcBorders>
            <w:vAlign w:val="center"/>
          </w:tcPr>
          <w:p w:rsidR="007F3904" w:rsidRDefault="007F3904" w:rsidP="007F3904">
            <w:pPr>
              <w:pStyle w:val="Listenabsatz"/>
              <w:ind w:left="0"/>
            </w:pPr>
          </w:p>
        </w:tc>
      </w:tr>
      <w:tr w:rsidR="007F3904" w:rsidTr="005C600B">
        <w:trPr>
          <w:trHeight w:val="567"/>
        </w:trPr>
        <w:tc>
          <w:tcPr>
            <w:tcW w:w="999" w:type="dxa"/>
            <w:tcBorders>
              <w:top w:val="dashed" w:sz="4" w:space="0" w:color="auto"/>
              <w:left w:val="single" w:sz="4" w:space="0" w:color="auto"/>
              <w:bottom w:val="dashed" w:sz="4" w:space="0" w:color="auto"/>
              <w:right w:val="single" w:sz="4" w:space="0" w:color="auto"/>
            </w:tcBorders>
            <w:vAlign w:val="center"/>
          </w:tcPr>
          <w:p w:rsidR="007F3904" w:rsidRDefault="00335147" w:rsidP="007F3904">
            <w:pPr>
              <w:pStyle w:val="Listenabsatz"/>
              <w:ind w:left="0"/>
            </w:pPr>
            <w:r>
              <w:t>22.</w:t>
            </w:r>
            <w:r w:rsidR="007F3904">
              <w:t>1.3</w:t>
            </w:r>
          </w:p>
        </w:tc>
        <w:tc>
          <w:tcPr>
            <w:tcW w:w="3895" w:type="dxa"/>
            <w:gridSpan w:val="5"/>
            <w:tcBorders>
              <w:top w:val="dashed" w:sz="4" w:space="0" w:color="auto"/>
              <w:left w:val="single" w:sz="4" w:space="0" w:color="auto"/>
              <w:bottom w:val="dashed" w:sz="4" w:space="0" w:color="auto"/>
              <w:right w:val="single" w:sz="4" w:space="0" w:color="auto"/>
            </w:tcBorders>
            <w:vAlign w:val="center"/>
          </w:tcPr>
          <w:p w:rsidR="007F3904" w:rsidRDefault="007F3904" w:rsidP="007F3904">
            <w:pPr>
              <w:pStyle w:val="Listenabsatz"/>
              <w:ind w:left="0"/>
            </w:pPr>
            <w:r>
              <w:t>Stimmt der Bilanzbestand der zusätzlichen Abschreibungen mit der Buchhaltung überein?</w:t>
            </w:r>
          </w:p>
        </w:tc>
        <w:sdt>
          <w:sdtPr>
            <w:id w:val="-464276325"/>
            <w14:checkbox>
              <w14:checked w14:val="0"/>
              <w14:checkedState w14:val="2612" w14:font="MS Gothic"/>
              <w14:uncheckedState w14:val="2610" w14:font="MS Gothic"/>
            </w14:checkbox>
          </w:sdtPr>
          <w:sdtEndPr/>
          <w:sdtContent>
            <w:tc>
              <w:tcPr>
                <w:tcW w:w="603" w:type="dxa"/>
                <w:tcBorders>
                  <w:top w:val="dashed" w:sz="4" w:space="0" w:color="auto"/>
                  <w:left w:val="single" w:sz="4" w:space="0" w:color="auto"/>
                  <w:bottom w:val="dashed" w:sz="4" w:space="0" w:color="auto"/>
                  <w:right w:val="single" w:sz="4" w:space="0" w:color="auto"/>
                </w:tcBorders>
                <w:vAlign w:val="center"/>
              </w:tcPr>
              <w:p w:rsidR="007F3904" w:rsidRDefault="007F3904" w:rsidP="007F3904">
                <w:pPr>
                  <w:pStyle w:val="Listenabsatz"/>
                  <w:ind w:left="0"/>
                  <w:jc w:val="center"/>
                </w:pPr>
                <w:r>
                  <w:rPr>
                    <w:rFonts w:ascii="MS Gothic" w:eastAsia="MS Gothic" w:hAnsi="MS Gothic" w:hint="eastAsia"/>
                  </w:rPr>
                  <w:t>☐</w:t>
                </w:r>
              </w:p>
            </w:tc>
          </w:sdtContent>
        </w:sdt>
        <w:tc>
          <w:tcPr>
            <w:tcW w:w="2898" w:type="dxa"/>
            <w:gridSpan w:val="4"/>
            <w:tcBorders>
              <w:top w:val="dashed" w:sz="4" w:space="0" w:color="auto"/>
              <w:left w:val="single" w:sz="4" w:space="0" w:color="auto"/>
              <w:bottom w:val="dashed" w:sz="4" w:space="0" w:color="auto"/>
              <w:right w:val="single" w:sz="4" w:space="0" w:color="auto"/>
            </w:tcBorders>
            <w:vAlign w:val="center"/>
          </w:tcPr>
          <w:p w:rsidR="007F3904" w:rsidRDefault="007F3904" w:rsidP="007F3904">
            <w:pPr>
              <w:pStyle w:val="Listenabsatz"/>
              <w:ind w:left="0"/>
            </w:pPr>
          </w:p>
        </w:tc>
        <w:tc>
          <w:tcPr>
            <w:tcW w:w="1232" w:type="dxa"/>
            <w:tcBorders>
              <w:top w:val="dashed" w:sz="4" w:space="0" w:color="auto"/>
              <w:left w:val="single" w:sz="4" w:space="0" w:color="auto"/>
              <w:bottom w:val="dashed" w:sz="4" w:space="0" w:color="auto"/>
              <w:right w:val="single" w:sz="4" w:space="0" w:color="auto"/>
            </w:tcBorders>
            <w:vAlign w:val="center"/>
          </w:tcPr>
          <w:p w:rsidR="007F3904" w:rsidRDefault="007F3904" w:rsidP="007F3904">
            <w:pPr>
              <w:pStyle w:val="Listenabsatz"/>
              <w:ind w:left="0"/>
            </w:pPr>
          </w:p>
        </w:tc>
      </w:tr>
      <w:tr w:rsidR="007F3904" w:rsidTr="005C600B">
        <w:trPr>
          <w:trHeight w:val="567"/>
        </w:trPr>
        <w:tc>
          <w:tcPr>
            <w:tcW w:w="999" w:type="dxa"/>
            <w:tcBorders>
              <w:top w:val="dashed" w:sz="4" w:space="0" w:color="auto"/>
              <w:left w:val="single" w:sz="4" w:space="0" w:color="auto"/>
              <w:bottom w:val="dashed" w:sz="4" w:space="0" w:color="auto"/>
              <w:right w:val="single" w:sz="4" w:space="0" w:color="auto"/>
            </w:tcBorders>
            <w:vAlign w:val="center"/>
          </w:tcPr>
          <w:p w:rsidR="007F3904" w:rsidRDefault="00335147" w:rsidP="007F3904">
            <w:pPr>
              <w:pStyle w:val="Listenabsatz"/>
              <w:ind w:left="0"/>
            </w:pPr>
            <w:r>
              <w:lastRenderedPageBreak/>
              <w:t>22.</w:t>
            </w:r>
            <w:r w:rsidR="007F3904">
              <w:t>1.4</w:t>
            </w:r>
          </w:p>
        </w:tc>
        <w:tc>
          <w:tcPr>
            <w:tcW w:w="3895" w:type="dxa"/>
            <w:gridSpan w:val="5"/>
            <w:tcBorders>
              <w:top w:val="dashed" w:sz="4" w:space="0" w:color="auto"/>
              <w:left w:val="single" w:sz="4" w:space="0" w:color="auto"/>
              <w:bottom w:val="dashed" w:sz="4" w:space="0" w:color="auto"/>
              <w:right w:val="single" w:sz="4" w:space="0" w:color="auto"/>
            </w:tcBorders>
            <w:vAlign w:val="center"/>
          </w:tcPr>
          <w:p w:rsidR="007F3904" w:rsidRDefault="007F3904" w:rsidP="007F3904">
            <w:pPr>
              <w:pStyle w:val="Listenabsatz"/>
              <w:ind w:left="0"/>
            </w:pPr>
            <w:r>
              <w:t>Ist der Ausweis der zusätzlichen Abschreibungen in der Bilanz korrekt (für jede zusätzliche Abschreibung ist ein separates Unterkonto zu führen)?</w:t>
            </w:r>
          </w:p>
        </w:tc>
        <w:tc>
          <w:tcPr>
            <w:tcW w:w="603" w:type="dxa"/>
            <w:tcBorders>
              <w:top w:val="dashed" w:sz="4" w:space="0" w:color="auto"/>
              <w:left w:val="single" w:sz="4" w:space="0" w:color="auto"/>
              <w:bottom w:val="dashed" w:sz="4" w:space="0" w:color="auto"/>
              <w:right w:val="single" w:sz="4" w:space="0" w:color="auto"/>
            </w:tcBorders>
            <w:vAlign w:val="center"/>
          </w:tcPr>
          <w:p w:rsidR="007F3904" w:rsidRDefault="007F3904" w:rsidP="007F3904">
            <w:pPr>
              <w:pStyle w:val="Listenabsatz"/>
              <w:ind w:left="0"/>
              <w:jc w:val="center"/>
            </w:pPr>
          </w:p>
        </w:tc>
        <w:tc>
          <w:tcPr>
            <w:tcW w:w="2898" w:type="dxa"/>
            <w:gridSpan w:val="4"/>
            <w:tcBorders>
              <w:top w:val="dashed" w:sz="4" w:space="0" w:color="auto"/>
              <w:left w:val="single" w:sz="4" w:space="0" w:color="auto"/>
              <w:bottom w:val="dashed" w:sz="4" w:space="0" w:color="auto"/>
              <w:right w:val="single" w:sz="4" w:space="0" w:color="auto"/>
            </w:tcBorders>
            <w:vAlign w:val="center"/>
          </w:tcPr>
          <w:p w:rsidR="007F3904" w:rsidRDefault="007F3904" w:rsidP="007F3904">
            <w:pPr>
              <w:pStyle w:val="Listenabsatz"/>
              <w:ind w:left="0"/>
            </w:pPr>
          </w:p>
        </w:tc>
        <w:tc>
          <w:tcPr>
            <w:tcW w:w="1232" w:type="dxa"/>
            <w:tcBorders>
              <w:top w:val="dashed" w:sz="4" w:space="0" w:color="auto"/>
              <w:left w:val="single" w:sz="4" w:space="0" w:color="auto"/>
              <w:bottom w:val="dashed" w:sz="4" w:space="0" w:color="auto"/>
              <w:right w:val="single" w:sz="4" w:space="0" w:color="auto"/>
            </w:tcBorders>
            <w:vAlign w:val="center"/>
          </w:tcPr>
          <w:p w:rsidR="007F3904" w:rsidRDefault="007F3904" w:rsidP="007F3904">
            <w:pPr>
              <w:pStyle w:val="Listenabsatz"/>
              <w:ind w:left="0"/>
            </w:pPr>
          </w:p>
        </w:tc>
      </w:tr>
      <w:tr w:rsidR="007F3904" w:rsidTr="00412FA6">
        <w:trPr>
          <w:trHeight w:val="567"/>
        </w:trPr>
        <w:tc>
          <w:tcPr>
            <w:tcW w:w="999" w:type="dxa"/>
            <w:tcBorders>
              <w:top w:val="single" w:sz="4" w:space="0" w:color="auto"/>
              <w:bottom w:val="single" w:sz="4" w:space="0" w:color="auto"/>
            </w:tcBorders>
            <w:shd w:val="clear" w:color="auto" w:fill="D9D9D9" w:themeFill="background1" w:themeFillShade="D9"/>
            <w:vAlign w:val="center"/>
          </w:tcPr>
          <w:p w:rsidR="007F3904" w:rsidRPr="00886FCC" w:rsidRDefault="00335147" w:rsidP="007F3904">
            <w:pPr>
              <w:pStyle w:val="Listenabsatz"/>
              <w:ind w:left="0"/>
              <w:rPr>
                <w:b/>
                <w:sz w:val="24"/>
                <w:szCs w:val="24"/>
              </w:rPr>
            </w:pPr>
            <w:r>
              <w:rPr>
                <w:b/>
                <w:sz w:val="24"/>
                <w:szCs w:val="24"/>
              </w:rPr>
              <w:t>22.</w:t>
            </w:r>
            <w:r w:rsidR="007F3904" w:rsidRPr="00886FCC">
              <w:rPr>
                <w:b/>
                <w:sz w:val="24"/>
                <w:szCs w:val="24"/>
              </w:rPr>
              <w:t>2</w:t>
            </w:r>
          </w:p>
        </w:tc>
        <w:tc>
          <w:tcPr>
            <w:tcW w:w="3895" w:type="dxa"/>
            <w:gridSpan w:val="5"/>
            <w:tcBorders>
              <w:top w:val="single" w:sz="4" w:space="0" w:color="auto"/>
              <w:bottom w:val="single" w:sz="4" w:space="0" w:color="auto"/>
            </w:tcBorders>
            <w:shd w:val="clear" w:color="auto" w:fill="D9D9D9" w:themeFill="background1" w:themeFillShade="D9"/>
            <w:vAlign w:val="center"/>
          </w:tcPr>
          <w:p w:rsidR="007F3904" w:rsidRPr="00886FCC" w:rsidRDefault="007F3904" w:rsidP="007F3904">
            <w:pPr>
              <w:pStyle w:val="Listenabsatz"/>
              <w:ind w:left="0"/>
              <w:rPr>
                <w:b/>
                <w:sz w:val="24"/>
                <w:szCs w:val="24"/>
              </w:rPr>
            </w:pPr>
            <w:r w:rsidRPr="00886FCC">
              <w:rPr>
                <w:b/>
                <w:sz w:val="24"/>
                <w:szCs w:val="24"/>
              </w:rPr>
              <w:t>Verkehrsprüfungen</w:t>
            </w:r>
          </w:p>
        </w:tc>
        <w:tc>
          <w:tcPr>
            <w:tcW w:w="603" w:type="dxa"/>
            <w:tcBorders>
              <w:top w:val="single" w:sz="4" w:space="0" w:color="auto"/>
              <w:bottom w:val="single" w:sz="4" w:space="0" w:color="auto"/>
            </w:tcBorders>
            <w:shd w:val="clear" w:color="auto" w:fill="D9D9D9" w:themeFill="background1" w:themeFillShade="D9"/>
            <w:vAlign w:val="center"/>
          </w:tcPr>
          <w:p w:rsidR="007F3904" w:rsidRPr="00886FCC" w:rsidRDefault="007F3904" w:rsidP="007F3904">
            <w:pPr>
              <w:pStyle w:val="Listenabsatz"/>
              <w:ind w:left="0"/>
              <w:jc w:val="center"/>
              <w:rPr>
                <w:b/>
                <w:sz w:val="24"/>
                <w:szCs w:val="24"/>
              </w:rPr>
            </w:pPr>
            <w:proofErr w:type="spellStart"/>
            <w:r w:rsidRPr="00886FCC">
              <w:rPr>
                <w:b/>
                <w:sz w:val="24"/>
                <w:szCs w:val="24"/>
              </w:rPr>
              <w:t>i.O</w:t>
            </w:r>
            <w:proofErr w:type="spellEnd"/>
            <w:r w:rsidRPr="00886FCC">
              <w:rPr>
                <w:b/>
                <w:sz w:val="24"/>
                <w:szCs w:val="24"/>
              </w:rPr>
              <w:t>.</w:t>
            </w:r>
          </w:p>
        </w:tc>
        <w:tc>
          <w:tcPr>
            <w:tcW w:w="2898" w:type="dxa"/>
            <w:gridSpan w:val="4"/>
            <w:tcBorders>
              <w:top w:val="single" w:sz="4" w:space="0" w:color="auto"/>
              <w:bottom w:val="single" w:sz="4" w:space="0" w:color="auto"/>
            </w:tcBorders>
            <w:shd w:val="clear" w:color="auto" w:fill="D9D9D9" w:themeFill="background1" w:themeFillShade="D9"/>
            <w:vAlign w:val="center"/>
          </w:tcPr>
          <w:p w:rsidR="007F3904" w:rsidRPr="00886FCC" w:rsidRDefault="007F3904" w:rsidP="007F3904">
            <w:pPr>
              <w:pStyle w:val="Listenabsatz"/>
              <w:ind w:left="0"/>
              <w:rPr>
                <w:b/>
                <w:sz w:val="24"/>
                <w:szCs w:val="24"/>
              </w:rPr>
            </w:pPr>
            <w:r w:rsidRPr="00886FCC">
              <w:rPr>
                <w:b/>
                <w:sz w:val="24"/>
                <w:szCs w:val="24"/>
              </w:rPr>
              <w:t>Feststellungen, Bemerkungen</w:t>
            </w:r>
          </w:p>
        </w:tc>
        <w:tc>
          <w:tcPr>
            <w:tcW w:w="1232" w:type="dxa"/>
            <w:tcBorders>
              <w:top w:val="single" w:sz="4" w:space="0" w:color="auto"/>
              <w:bottom w:val="single" w:sz="4" w:space="0" w:color="auto"/>
            </w:tcBorders>
            <w:shd w:val="clear" w:color="auto" w:fill="D9D9D9" w:themeFill="background1" w:themeFillShade="D9"/>
            <w:vAlign w:val="center"/>
          </w:tcPr>
          <w:p w:rsidR="007F3904" w:rsidRPr="00886FCC" w:rsidRDefault="007F3904" w:rsidP="007F3904">
            <w:pPr>
              <w:pStyle w:val="Listenabsatz"/>
              <w:ind w:left="0"/>
              <w:rPr>
                <w:b/>
                <w:sz w:val="24"/>
                <w:szCs w:val="24"/>
              </w:rPr>
            </w:pPr>
            <w:r w:rsidRPr="00886FCC">
              <w:rPr>
                <w:b/>
                <w:sz w:val="24"/>
                <w:szCs w:val="24"/>
              </w:rPr>
              <w:t>Referenz</w:t>
            </w:r>
          </w:p>
        </w:tc>
      </w:tr>
      <w:tr w:rsidR="007F3904" w:rsidTr="00412FA6">
        <w:trPr>
          <w:trHeight w:val="567"/>
        </w:trPr>
        <w:tc>
          <w:tcPr>
            <w:tcW w:w="999" w:type="dxa"/>
            <w:tcBorders>
              <w:top w:val="single" w:sz="4" w:space="0" w:color="auto"/>
              <w:bottom w:val="dashed" w:sz="4" w:space="0" w:color="auto"/>
            </w:tcBorders>
            <w:vAlign w:val="center"/>
          </w:tcPr>
          <w:p w:rsidR="007F3904" w:rsidRDefault="00335147" w:rsidP="007F3904">
            <w:pPr>
              <w:pStyle w:val="Listenabsatz"/>
              <w:ind w:left="0"/>
            </w:pPr>
            <w:r>
              <w:t>22.</w:t>
            </w:r>
            <w:r w:rsidR="007F3904">
              <w:t>2.1*</w:t>
            </w:r>
          </w:p>
        </w:tc>
        <w:tc>
          <w:tcPr>
            <w:tcW w:w="3895" w:type="dxa"/>
            <w:gridSpan w:val="5"/>
            <w:tcBorders>
              <w:top w:val="single" w:sz="4" w:space="0" w:color="auto"/>
              <w:bottom w:val="dashed" w:sz="4" w:space="0" w:color="auto"/>
            </w:tcBorders>
            <w:vAlign w:val="center"/>
          </w:tcPr>
          <w:p w:rsidR="00E16C53" w:rsidRDefault="007F3904" w:rsidP="00E16C53">
            <w:pPr>
              <w:pStyle w:val="Listenabsatz"/>
              <w:ind w:left="0"/>
            </w:pPr>
            <w:r>
              <w:t xml:space="preserve">Entsprechen die Einlagen in </w:t>
            </w:r>
            <w:r w:rsidR="00E16C53">
              <w:t xml:space="preserve">die </w:t>
            </w:r>
            <w:r>
              <w:t>Vorfinanzierungen den gesetzlichen Vorgaben</w:t>
            </w:r>
            <w:r w:rsidR="00E16C53">
              <w:t>?</w:t>
            </w:r>
          </w:p>
          <w:p w:rsidR="00E16C53" w:rsidRDefault="00E16C53" w:rsidP="00E16C53">
            <w:pPr>
              <w:pStyle w:val="Listenabsatz"/>
              <w:numPr>
                <w:ilvl w:val="0"/>
                <w:numId w:val="23"/>
              </w:numPr>
              <w:ind w:left="307" w:hanging="307"/>
            </w:pPr>
            <w:r>
              <w:t>Beschluss durch Bürgerschaft oder Parlament mit Budget oder Jahresrechnung</w:t>
            </w:r>
          </w:p>
          <w:p w:rsidR="00E16C53" w:rsidRDefault="00412FA6" w:rsidP="00E16C53">
            <w:pPr>
              <w:pStyle w:val="Listenabsatz"/>
              <w:numPr>
                <w:ilvl w:val="0"/>
                <w:numId w:val="23"/>
              </w:numPr>
              <w:ind w:left="307" w:hanging="307"/>
            </w:pPr>
            <w:r>
              <w:t>g</w:t>
            </w:r>
            <w:r w:rsidR="00E16C53">
              <w:t>enaue Zweckbestimmung</w:t>
            </w:r>
          </w:p>
          <w:p w:rsidR="00E16C53" w:rsidRDefault="00E16C53" w:rsidP="00E16C53">
            <w:pPr>
              <w:pStyle w:val="Listenabsatz"/>
              <w:numPr>
                <w:ilvl w:val="0"/>
                <w:numId w:val="23"/>
              </w:numPr>
              <w:ind w:left="307" w:hanging="307"/>
            </w:pPr>
            <w:r>
              <w:t xml:space="preserve">Die maximale Einlage entspricht dem Ertragsüberschuss der ersten Stufe der </w:t>
            </w:r>
            <w:proofErr w:type="spellStart"/>
            <w:r>
              <w:t>Erfolgsrechunung</w:t>
            </w:r>
            <w:proofErr w:type="spellEnd"/>
            <w:r>
              <w:t xml:space="preserve"> sowie den Erträgen aus Vorfinanzierungen und zusätzlichen Abschreibungen</w:t>
            </w:r>
            <w:r w:rsidR="00412FA6">
              <w:t>.</w:t>
            </w:r>
          </w:p>
          <w:p w:rsidR="007F3904" w:rsidRPr="00245D97" w:rsidRDefault="00E16C53" w:rsidP="00E16C53">
            <w:pPr>
              <w:pStyle w:val="Listenabsatz"/>
              <w:numPr>
                <w:ilvl w:val="0"/>
                <w:numId w:val="23"/>
              </w:numPr>
              <w:ind w:left="307" w:hanging="307"/>
            </w:pPr>
            <w:r>
              <w:t>Die Einlage in die Vorfinanzierungen darf zu keinem Aufwandüberschuss im Gesamtergebnis führen.</w:t>
            </w:r>
          </w:p>
        </w:tc>
        <w:sdt>
          <w:sdtPr>
            <w:id w:val="518045011"/>
            <w14:checkbox>
              <w14:checked w14:val="0"/>
              <w14:checkedState w14:val="2612" w14:font="MS Gothic"/>
              <w14:uncheckedState w14:val="2610" w14:font="MS Gothic"/>
            </w14:checkbox>
          </w:sdtPr>
          <w:sdtEndPr/>
          <w:sdtContent>
            <w:tc>
              <w:tcPr>
                <w:tcW w:w="603" w:type="dxa"/>
                <w:tcBorders>
                  <w:top w:val="single" w:sz="4" w:space="0" w:color="auto"/>
                  <w:bottom w:val="dashed" w:sz="4" w:space="0" w:color="auto"/>
                </w:tcBorders>
                <w:vAlign w:val="center"/>
              </w:tcPr>
              <w:p w:rsidR="007F3904" w:rsidRDefault="007F3904" w:rsidP="007F3904">
                <w:pPr>
                  <w:pStyle w:val="Listenabsatz"/>
                  <w:ind w:left="0"/>
                  <w:jc w:val="center"/>
                </w:pPr>
                <w:r>
                  <w:rPr>
                    <w:rFonts w:ascii="MS Gothic" w:eastAsia="MS Gothic" w:hAnsi="MS Gothic" w:hint="eastAsia"/>
                  </w:rPr>
                  <w:t>☐</w:t>
                </w:r>
              </w:p>
            </w:tc>
          </w:sdtContent>
        </w:sdt>
        <w:tc>
          <w:tcPr>
            <w:tcW w:w="2898" w:type="dxa"/>
            <w:gridSpan w:val="4"/>
            <w:tcBorders>
              <w:top w:val="single" w:sz="4" w:space="0" w:color="auto"/>
              <w:bottom w:val="dashed" w:sz="4" w:space="0" w:color="auto"/>
            </w:tcBorders>
            <w:vAlign w:val="center"/>
          </w:tcPr>
          <w:p w:rsidR="007F3904" w:rsidRDefault="007F3904" w:rsidP="007F3904">
            <w:pPr>
              <w:pStyle w:val="Listenabsatz"/>
              <w:ind w:left="0"/>
            </w:pPr>
          </w:p>
        </w:tc>
        <w:tc>
          <w:tcPr>
            <w:tcW w:w="1232" w:type="dxa"/>
            <w:tcBorders>
              <w:top w:val="single" w:sz="4" w:space="0" w:color="auto"/>
              <w:bottom w:val="dashed" w:sz="4" w:space="0" w:color="auto"/>
            </w:tcBorders>
            <w:vAlign w:val="center"/>
          </w:tcPr>
          <w:p w:rsidR="007F3904" w:rsidRDefault="007F3904" w:rsidP="007F3904">
            <w:pPr>
              <w:pStyle w:val="Listenabsatz"/>
              <w:ind w:left="0"/>
            </w:pPr>
          </w:p>
        </w:tc>
      </w:tr>
      <w:tr w:rsidR="005951DC" w:rsidTr="00412FA6">
        <w:trPr>
          <w:trHeight w:val="567"/>
        </w:trPr>
        <w:tc>
          <w:tcPr>
            <w:tcW w:w="999" w:type="dxa"/>
            <w:tcBorders>
              <w:top w:val="dashed" w:sz="4" w:space="0" w:color="auto"/>
              <w:bottom w:val="dashed" w:sz="4" w:space="0" w:color="auto"/>
            </w:tcBorders>
            <w:vAlign w:val="center"/>
          </w:tcPr>
          <w:p w:rsidR="005951DC" w:rsidRDefault="00335147" w:rsidP="00F327F3">
            <w:pPr>
              <w:pStyle w:val="Listenabsatz"/>
              <w:ind w:left="0"/>
            </w:pPr>
            <w:r>
              <w:t>22.</w:t>
            </w:r>
            <w:r w:rsidR="005951DC">
              <w:t>2.2*</w:t>
            </w:r>
          </w:p>
        </w:tc>
        <w:tc>
          <w:tcPr>
            <w:tcW w:w="3895" w:type="dxa"/>
            <w:gridSpan w:val="5"/>
            <w:tcBorders>
              <w:top w:val="dashed" w:sz="4" w:space="0" w:color="auto"/>
              <w:bottom w:val="dashed" w:sz="4" w:space="0" w:color="auto"/>
            </w:tcBorders>
            <w:vAlign w:val="center"/>
          </w:tcPr>
          <w:p w:rsidR="00E16C53" w:rsidRDefault="00E16C53" w:rsidP="00F327F3">
            <w:pPr>
              <w:pStyle w:val="Listenabsatz"/>
              <w:ind w:left="0"/>
            </w:pPr>
            <w:r>
              <w:t>Entsprechen die Entnahmen aus den Vorfinanzierungen den gesetzlichen Vorgaben?</w:t>
            </w:r>
          </w:p>
          <w:p w:rsidR="00E16C53" w:rsidRPr="00245D97" w:rsidRDefault="00E16C53" w:rsidP="00AC0A60">
            <w:r w:rsidRPr="00AC0A60">
              <w:rPr>
                <w:rStyle w:val="textcontent"/>
                <w:lang w:val="de-DE"/>
              </w:rPr>
              <w:t>Die Entnahme aus den Vorfinanzierungen erfolgt ab Beginn der Abschreibung des vorfinanzierten Investitionsobjekts zu jährlich gleichen Teilen über dessen Abschreibungsdauer.</w:t>
            </w:r>
          </w:p>
        </w:tc>
        <w:sdt>
          <w:sdtPr>
            <w:id w:val="-400214177"/>
            <w14:checkbox>
              <w14:checked w14:val="0"/>
              <w14:checkedState w14:val="2612" w14:font="MS Gothic"/>
              <w14:uncheckedState w14:val="2610" w14:font="MS Gothic"/>
            </w14:checkbox>
          </w:sdtPr>
          <w:sdtEndPr/>
          <w:sdtContent>
            <w:tc>
              <w:tcPr>
                <w:tcW w:w="603" w:type="dxa"/>
                <w:tcBorders>
                  <w:top w:val="dashed" w:sz="4" w:space="0" w:color="auto"/>
                  <w:bottom w:val="dashed" w:sz="4" w:space="0" w:color="auto"/>
                </w:tcBorders>
                <w:vAlign w:val="center"/>
              </w:tcPr>
              <w:p w:rsidR="005951DC" w:rsidRDefault="005951DC" w:rsidP="00F327F3">
                <w:pPr>
                  <w:pStyle w:val="Listenabsatz"/>
                  <w:ind w:left="0"/>
                  <w:jc w:val="center"/>
                </w:pPr>
                <w:r>
                  <w:rPr>
                    <w:rFonts w:ascii="MS Gothic" w:eastAsia="MS Gothic" w:hAnsi="MS Gothic" w:hint="eastAsia"/>
                  </w:rPr>
                  <w:t>☐</w:t>
                </w:r>
              </w:p>
            </w:tc>
          </w:sdtContent>
        </w:sdt>
        <w:tc>
          <w:tcPr>
            <w:tcW w:w="2898" w:type="dxa"/>
            <w:gridSpan w:val="4"/>
            <w:tcBorders>
              <w:top w:val="dashed" w:sz="4" w:space="0" w:color="auto"/>
              <w:bottom w:val="dashed" w:sz="4" w:space="0" w:color="auto"/>
            </w:tcBorders>
            <w:vAlign w:val="center"/>
          </w:tcPr>
          <w:p w:rsidR="005951DC" w:rsidRDefault="005951DC" w:rsidP="00F327F3">
            <w:pPr>
              <w:pStyle w:val="Listenabsatz"/>
              <w:ind w:left="0"/>
            </w:pPr>
          </w:p>
        </w:tc>
        <w:tc>
          <w:tcPr>
            <w:tcW w:w="1232" w:type="dxa"/>
            <w:tcBorders>
              <w:top w:val="dashed" w:sz="4" w:space="0" w:color="auto"/>
              <w:bottom w:val="dashed" w:sz="4" w:space="0" w:color="auto"/>
            </w:tcBorders>
            <w:vAlign w:val="center"/>
          </w:tcPr>
          <w:p w:rsidR="005951DC" w:rsidRDefault="005951DC" w:rsidP="00F327F3">
            <w:pPr>
              <w:pStyle w:val="Listenabsatz"/>
              <w:ind w:left="0"/>
            </w:pPr>
          </w:p>
        </w:tc>
      </w:tr>
      <w:tr w:rsidR="007F3904" w:rsidTr="005C600B">
        <w:trPr>
          <w:trHeight w:val="567"/>
        </w:trPr>
        <w:tc>
          <w:tcPr>
            <w:tcW w:w="999" w:type="dxa"/>
            <w:tcBorders>
              <w:top w:val="dashed" w:sz="4" w:space="0" w:color="auto"/>
              <w:bottom w:val="dashed" w:sz="4" w:space="0" w:color="auto"/>
            </w:tcBorders>
            <w:vAlign w:val="center"/>
          </w:tcPr>
          <w:p w:rsidR="007F3904" w:rsidRDefault="00335147" w:rsidP="00E16C53">
            <w:pPr>
              <w:pStyle w:val="Listenabsatz"/>
              <w:ind w:left="0"/>
            </w:pPr>
            <w:r>
              <w:t>22.</w:t>
            </w:r>
            <w:r w:rsidR="007F3904">
              <w:t>2.</w:t>
            </w:r>
            <w:r w:rsidR="00E16C53">
              <w:t>3</w:t>
            </w:r>
          </w:p>
        </w:tc>
        <w:tc>
          <w:tcPr>
            <w:tcW w:w="3895" w:type="dxa"/>
            <w:gridSpan w:val="5"/>
            <w:tcBorders>
              <w:top w:val="dashed" w:sz="4" w:space="0" w:color="auto"/>
              <w:bottom w:val="dashed" w:sz="4" w:space="0" w:color="auto"/>
            </w:tcBorders>
            <w:vAlign w:val="center"/>
          </w:tcPr>
          <w:p w:rsidR="007F3904" w:rsidRDefault="007F3904" w:rsidP="007F3904">
            <w:pPr>
              <w:spacing w:before="60"/>
            </w:pPr>
            <w:r>
              <w:t>Wurden die Einlagen und Entnahmen korrekt verbucht?</w:t>
            </w:r>
          </w:p>
          <w:p w:rsidR="007F3904" w:rsidRPr="004D2376" w:rsidRDefault="007F3904" w:rsidP="007F3904">
            <w:pPr>
              <w:spacing w:before="60"/>
              <w:rPr>
                <w:b/>
                <w:i/>
              </w:rPr>
            </w:pPr>
            <w:r>
              <w:rPr>
                <w:b/>
                <w:i/>
              </w:rPr>
              <w:t>Vorfinanzierungen (allgemeiner Haushalt)</w:t>
            </w:r>
          </w:p>
          <w:p w:rsidR="007F3904" w:rsidRDefault="007F3904" w:rsidP="007F3904">
            <w:pPr>
              <w:spacing w:before="60"/>
            </w:pPr>
            <w:r>
              <w:t>Einlage:</w:t>
            </w:r>
          </w:p>
          <w:p w:rsidR="007F3904" w:rsidRDefault="007F3904" w:rsidP="007F3904">
            <w:pPr>
              <w:spacing w:before="60"/>
            </w:pPr>
            <w:r>
              <w:t>Soll 990.3893 Haben 2930</w:t>
            </w:r>
          </w:p>
          <w:p w:rsidR="007F3904" w:rsidRDefault="007F3904" w:rsidP="007F3904">
            <w:pPr>
              <w:spacing w:before="60"/>
            </w:pPr>
            <w:r>
              <w:t>Entnahme:</w:t>
            </w:r>
          </w:p>
          <w:p w:rsidR="007F3904" w:rsidRDefault="007F3904" w:rsidP="007F3904">
            <w:pPr>
              <w:spacing w:before="60"/>
            </w:pPr>
            <w:r>
              <w:t>Soll 2930 Haben 990.4893</w:t>
            </w:r>
          </w:p>
          <w:p w:rsidR="007F3904" w:rsidRPr="004D2376" w:rsidRDefault="007F3904" w:rsidP="007F3904">
            <w:pPr>
              <w:spacing w:before="60"/>
              <w:rPr>
                <w:b/>
                <w:i/>
              </w:rPr>
            </w:pPr>
            <w:r>
              <w:rPr>
                <w:b/>
                <w:i/>
              </w:rPr>
              <w:t>Vorfinanzierungen (Spezialfinanzierungen)</w:t>
            </w:r>
          </w:p>
          <w:p w:rsidR="007F3904" w:rsidRDefault="007F3904" w:rsidP="007F3904">
            <w:pPr>
              <w:spacing w:before="60"/>
            </w:pPr>
            <w:r>
              <w:t>Einlage:</w:t>
            </w:r>
          </w:p>
          <w:p w:rsidR="007F3904" w:rsidRDefault="007F3904" w:rsidP="007F3904">
            <w:pPr>
              <w:spacing w:before="60"/>
            </w:pPr>
            <w:r>
              <w:t>Soll xxx.3515 Haben 2900x.1</w:t>
            </w:r>
          </w:p>
          <w:p w:rsidR="007F3904" w:rsidRDefault="007F3904" w:rsidP="007F3904">
            <w:pPr>
              <w:spacing w:before="60"/>
            </w:pPr>
            <w:r>
              <w:t>Entnahme:</w:t>
            </w:r>
          </w:p>
          <w:p w:rsidR="007F3904" w:rsidRDefault="007F3904" w:rsidP="007F3904">
            <w:pPr>
              <w:spacing w:before="60"/>
            </w:pPr>
            <w:r>
              <w:t>Soll 2900x.1 Haben xxx.4515</w:t>
            </w:r>
          </w:p>
        </w:tc>
        <w:sdt>
          <w:sdtPr>
            <w:id w:val="-415476347"/>
            <w14:checkbox>
              <w14:checked w14:val="0"/>
              <w14:checkedState w14:val="2612" w14:font="MS Gothic"/>
              <w14:uncheckedState w14:val="2610" w14:font="MS Gothic"/>
            </w14:checkbox>
          </w:sdtPr>
          <w:sdtEndPr/>
          <w:sdtContent>
            <w:tc>
              <w:tcPr>
                <w:tcW w:w="603" w:type="dxa"/>
                <w:tcBorders>
                  <w:top w:val="dashed" w:sz="4" w:space="0" w:color="auto"/>
                  <w:bottom w:val="dashed" w:sz="4" w:space="0" w:color="auto"/>
                </w:tcBorders>
                <w:vAlign w:val="center"/>
              </w:tcPr>
              <w:p w:rsidR="007F3904" w:rsidRDefault="007F3904" w:rsidP="007F3904">
                <w:pPr>
                  <w:pStyle w:val="Listenabsatz"/>
                  <w:ind w:left="0"/>
                  <w:jc w:val="center"/>
                </w:pPr>
                <w:r>
                  <w:rPr>
                    <w:rFonts w:ascii="MS Gothic" w:eastAsia="MS Gothic" w:hAnsi="MS Gothic" w:hint="eastAsia"/>
                  </w:rPr>
                  <w:t>☐</w:t>
                </w:r>
              </w:p>
            </w:tc>
          </w:sdtContent>
        </w:sdt>
        <w:tc>
          <w:tcPr>
            <w:tcW w:w="2898" w:type="dxa"/>
            <w:gridSpan w:val="4"/>
            <w:tcBorders>
              <w:top w:val="dashed" w:sz="4" w:space="0" w:color="auto"/>
              <w:bottom w:val="dashed" w:sz="4" w:space="0" w:color="auto"/>
            </w:tcBorders>
            <w:vAlign w:val="center"/>
          </w:tcPr>
          <w:p w:rsidR="007F3904" w:rsidRDefault="007F3904" w:rsidP="007F3904">
            <w:pPr>
              <w:pStyle w:val="Listenabsatz"/>
              <w:ind w:left="0"/>
            </w:pPr>
          </w:p>
        </w:tc>
        <w:tc>
          <w:tcPr>
            <w:tcW w:w="1232" w:type="dxa"/>
            <w:tcBorders>
              <w:top w:val="dashed" w:sz="4" w:space="0" w:color="auto"/>
              <w:bottom w:val="dashed" w:sz="4" w:space="0" w:color="auto"/>
            </w:tcBorders>
            <w:vAlign w:val="center"/>
          </w:tcPr>
          <w:p w:rsidR="007F3904" w:rsidRDefault="007F3904" w:rsidP="007F3904">
            <w:pPr>
              <w:pStyle w:val="Listenabsatz"/>
              <w:ind w:left="0"/>
            </w:pPr>
          </w:p>
        </w:tc>
      </w:tr>
      <w:tr w:rsidR="007F3904" w:rsidTr="005C600B">
        <w:trPr>
          <w:trHeight w:val="567"/>
        </w:trPr>
        <w:tc>
          <w:tcPr>
            <w:tcW w:w="999" w:type="dxa"/>
            <w:tcBorders>
              <w:top w:val="dashed" w:sz="4" w:space="0" w:color="auto"/>
              <w:bottom w:val="dashed" w:sz="4" w:space="0" w:color="auto"/>
            </w:tcBorders>
            <w:vAlign w:val="center"/>
          </w:tcPr>
          <w:p w:rsidR="007F3904" w:rsidRDefault="00335147" w:rsidP="00E16C53">
            <w:pPr>
              <w:pStyle w:val="Listenabsatz"/>
              <w:ind w:left="0"/>
            </w:pPr>
            <w:r>
              <w:t>22.</w:t>
            </w:r>
            <w:r w:rsidR="007F3904">
              <w:t>2.</w:t>
            </w:r>
            <w:r w:rsidR="00E16C53">
              <w:t>4</w:t>
            </w:r>
          </w:p>
        </w:tc>
        <w:tc>
          <w:tcPr>
            <w:tcW w:w="3895" w:type="dxa"/>
            <w:gridSpan w:val="5"/>
            <w:tcBorders>
              <w:top w:val="dashed" w:sz="4" w:space="0" w:color="auto"/>
              <w:bottom w:val="dashed" w:sz="4" w:space="0" w:color="auto"/>
            </w:tcBorders>
            <w:vAlign w:val="center"/>
          </w:tcPr>
          <w:p w:rsidR="007F3904" w:rsidRDefault="007F3904" w:rsidP="007F3904">
            <w:pPr>
              <w:pStyle w:val="Listenabsatz"/>
              <w:ind w:left="0"/>
            </w:pPr>
            <w:r>
              <w:t>Erfolgt die Verwendung der Vorfinanzierungen zweckentsprechend?</w:t>
            </w:r>
          </w:p>
        </w:tc>
        <w:sdt>
          <w:sdtPr>
            <w:id w:val="-359284365"/>
            <w14:checkbox>
              <w14:checked w14:val="0"/>
              <w14:checkedState w14:val="2612" w14:font="MS Gothic"/>
              <w14:uncheckedState w14:val="2610" w14:font="MS Gothic"/>
            </w14:checkbox>
          </w:sdtPr>
          <w:sdtEndPr/>
          <w:sdtContent>
            <w:tc>
              <w:tcPr>
                <w:tcW w:w="603" w:type="dxa"/>
                <w:tcBorders>
                  <w:top w:val="dashed" w:sz="4" w:space="0" w:color="auto"/>
                  <w:bottom w:val="dashed" w:sz="4" w:space="0" w:color="auto"/>
                </w:tcBorders>
                <w:vAlign w:val="center"/>
              </w:tcPr>
              <w:p w:rsidR="007F3904" w:rsidRDefault="007F3904" w:rsidP="007F3904">
                <w:pPr>
                  <w:pStyle w:val="Listenabsatz"/>
                  <w:ind w:left="0"/>
                  <w:jc w:val="center"/>
                </w:pPr>
                <w:r>
                  <w:rPr>
                    <w:rFonts w:ascii="MS Gothic" w:eastAsia="MS Gothic" w:hAnsi="MS Gothic" w:hint="eastAsia"/>
                  </w:rPr>
                  <w:t>☐</w:t>
                </w:r>
              </w:p>
            </w:tc>
          </w:sdtContent>
        </w:sdt>
        <w:tc>
          <w:tcPr>
            <w:tcW w:w="2898" w:type="dxa"/>
            <w:gridSpan w:val="4"/>
            <w:tcBorders>
              <w:top w:val="dashed" w:sz="4" w:space="0" w:color="auto"/>
              <w:bottom w:val="dashed" w:sz="4" w:space="0" w:color="auto"/>
            </w:tcBorders>
            <w:vAlign w:val="center"/>
          </w:tcPr>
          <w:p w:rsidR="007F3904" w:rsidRDefault="007F3904" w:rsidP="007F3904">
            <w:pPr>
              <w:pStyle w:val="Listenabsatz"/>
              <w:ind w:left="0"/>
            </w:pPr>
          </w:p>
        </w:tc>
        <w:tc>
          <w:tcPr>
            <w:tcW w:w="1232" w:type="dxa"/>
            <w:tcBorders>
              <w:top w:val="dashed" w:sz="4" w:space="0" w:color="auto"/>
              <w:bottom w:val="dashed" w:sz="4" w:space="0" w:color="auto"/>
            </w:tcBorders>
            <w:vAlign w:val="center"/>
          </w:tcPr>
          <w:p w:rsidR="007F3904" w:rsidRDefault="007F3904" w:rsidP="007F3904">
            <w:pPr>
              <w:pStyle w:val="Listenabsatz"/>
              <w:ind w:left="0"/>
            </w:pPr>
          </w:p>
        </w:tc>
      </w:tr>
      <w:tr w:rsidR="007F3904" w:rsidTr="00412FA6">
        <w:trPr>
          <w:trHeight w:val="567"/>
        </w:trPr>
        <w:tc>
          <w:tcPr>
            <w:tcW w:w="999" w:type="dxa"/>
            <w:tcBorders>
              <w:top w:val="dashed" w:sz="4" w:space="0" w:color="auto"/>
              <w:bottom w:val="dashed" w:sz="4" w:space="0" w:color="auto"/>
            </w:tcBorders>
            <w:vAlign w:val="center"/>
          </w:tcPr>
          <w:p w:rsidR="007F3904" w:rsidRDefault="00335147" w:rsidP="00E16C53">
            <w:pPr>
              <w:pStyle w:val="Listenabsatz"/>
              <w:ind w:left="0"/>
            </w:pPr>
            <w:r>
              <w:t>22.</w:t>
            </w:r>
            <w:r w:rsidR="007F3904">
              <w:t>2.</w:t>
            </w:r>
            <w:r w:rsidR="00D04876">
              <w:t>5*</w:t>
            </w:r>
          </w:p>
        </w:tc>
        <w:tc>
          <w:tcPr>
            <w:tcW w:w="3895" w:type="dxa"/>
            <w:gridSpan w:val="5"/>
            <w:tcBorders>
              <w:top w:val="dashed" w:sz="4" w:space="0" w:color="auto"/>
              <w:bottom w:val="dashed" w:sz="4" w:space="0" w:color="auto"/>
            </w:tcBorders>
            <w:vAlign w:val="center"/>
          </w:tcPr>
          <w:p w:rsidR="00D04876" w:rsidRDefault="007F3904" w:rsidP="00D04876">
            <w:pPr>
              <w:pStyle w:val="Listenabsatz"/>
              <w:ind w:left="0"/>
            </w:pPr>
            <w:r>
              <w:t>Entsprechen die</w:t>
            </w:r>
            <w:bookmarkStart w:id="0" w:name="_GoBack"/>
            <w:bookmarkEnd w:id="0"/>
            <w:r>
              <w:t xml:space="preserve"> Einlagen in die zusätzlichen Abschreibungen den gesetzlichen Vorgaben</w:t>
            </w:r>
            <w:r w:rsidR="00D04876">
              <w:t>?</w:t>
            </w:r>
          </w:p>
          <w:p w:rsidR="00D04876" w:rsidRDefault="00D04876" w:rsidP="00D04876">
            <w:pPr>
              <w:pStyle w:val="Listenabsatz"/>
              <w:numPr>
                <w:ilvl w:val="0"/>
                <w:numId w:val="23"/>
              </w:numPr>
              <w:ind w:left="307" w:hanging="307"/>
            </w:pPr>
            <w:r>
              <w:lastRenderedPageBreak/>
              <w:t>Beschluss durch Bürgerschaft oder Parlament mit Budget oder Jahresrechnung</w:t>
            </w:r>
          </w:p>
          <w:p w:rsidR="00D04876" w:rsidRDefault="00D04876" w:rsidP="00D04876">
            <w:pPr>
              <w:pStyle w:val="Listenabsatz"/>
              <w:numPr>
                <w:ilvl w:val="0"/>
                <w:numId w:val="23"/>
              </w:numPr>
              <w:ind w:left="307" w:hanging="307"/>
            </w:pPr>
            <w:r>
              <w:t>Die maximale Einlage entspricht dem Ertragsüberschuss der ersten Stufe der Erfolgsrechnung sowie den Erträgen aus Vorfinanzierungen und zusätzlichen Abschreibungen</w:t>
            </w:r>
            <w:r w:rsidR="00AC0A60">
              <w:t>.</w:t>
            </w:r>
          </w:p>
          <w:p w:rsidR="007F3904" w:rsidRPr="00245D97" w:rsidRDefault="00D04876" w:rsidP="00D04876">
            <w:pPr>
              <w:pStyle w:val="Listenabsatz"/>
              <w:numPr>
                <w:ilvl w:val="0"/>
                <w:numId w:val="23"/>
              </w:numPr>
              <w:ind w:left="307" w:hanging="307"/>
            </w:pPr>
            <w:r>
              <w:t>Die Einlage in die zusätzlichen Abschreibungen darf zu keinem Aufwandüberschuss im Gesamtergebnis führen.</w:t>
            </w:r>
          </w:p>
        </w:tc>
        <w:sdt>
          <w:sdtPr>
            <w:id w:val="-2001646629"/>
            <w14:checkbox>
              <w14:checked w14:val="0"/>
              <w14:checkedState w14:val="2612" w14:font="MS Gothic"/>
              <w14:uncheckedState w14:val="2610" w14:font="MS Gothic"/>
            </w14:checkbox>
          </w:sdtPr>
          <w:sdtEndPr/>
          <w:sdtContent>
            <w:tc>
              <w:tcPr>
                <w:tcW w:w="603" w:type="dxa"/>
                <w:tcBorders>
                  <w:top w:val="dashed" w:sz="4" w:space="0" w:color="auto"/>
                  <w:bottom w:val="dashed" w:sz="4" w:space="0" w:color="auto"/>
                </w:tcBorders>
                <w:vAlign w:val="center"/>
              </w:tcPr>
              <w:p w:rsidR="007F3904" w:rsidRDefault="007F3904" w:rsidP="007F3904">
                <w:pPr>
                  <w:pStyle w:val="Listenabsatz"/>
                  <w:ind w:left="0"/>
                  <w:jc w:val="center"/>
                </w:pPr>
                <w:r>
                  <w:rPr>
                    <w:rFonts w:ascii="MS Gothic" w:eastAsia="MS Gothic" w:hAnsi="MS Gothic" w:hint="eastAsia"/>
                  </w:rPr>
                  <w:t>☐</w:t>
                </w:r>
              </w:p>
            </w:tc>
          </w:sdtContent>
        </w:sdt>
        <w:tc>
          <w:tcPr>
            <w:tcW w:w="2898" w:type="dxa"/>
            <w:gridSpan w:val="4"/>
            <w:tcBorders>
              <w:top w:val="dashed" w:sz="4" w:space="0" w:color="auto"/>
              <w:bottom w:val="dashed" w:sz="4" w:space="0" w:color="auto"/>
            </w:tcBorders>
            <w:vAlign w:val="center"/>
          </w:tcPr>
          <w:p w:rsidR="007F3904" w:rsidRDefault="007F3904" w:rsidP="007F3904">
            <w:pPr>
              <w:pStyle w:val="Listenabsatz"/>
              <w:ind w:left="0"/>
            </w:pPr>
          </w:p>
        </w:tc>
        <w:tc>
          <w:tcPr>
            <w:tcW w:w="1232" w:type="dxa"/>
            <w:tcBorders>
              <w:top w:val="dashed" w:sz="4" w:space="0" w:color="auto"/>
              <w:bottom w:val="dashed" w:sz="4" w:space="0" w:color="auto"/>
            </w:tcBorders>
            <w:vAlign w:val="center"/>
          </w:tcPr>
          <w:p w:rsidR="007F3904" w:rsidRDefault="007F3904" w:rsidP="007F3904">
            <w:pPr>
              <w:pStyle w:val="Listenabsatz"/>
              <w:ind w:left="0"/>
            </w:pPr>
          </w:p>
        </w:tc>
      </w:tr>
      <w:tr w:rsidR="00E16C53" w:rsidTr="00412FA6">
        <w:trPr>
          <w:trHeight w:val="567"/>
        </w:trPr>
        <w:tc>
          <w:tcPr>
            <w:tcW w:w="999" w:type="dxa"/>
            <w:tcBorders>
              <w:top w:val="dashed" w:sz="4" w:space="0" w:color="auto"/>
              <w:bottom w:val="dashed" w:sz="4" w:space="0" w:color="auto"/>
            </w:tcBorders>
            <w:vAlign w:val="center"/>
          </w:tcPr>
          <w:p w:rsidR="00E16C53" w:rsidRDefault="00335147" w:rsidP="00D04876">
            <w:pPr>
              <w:pStyle w:val="Listenabsatz"/>
              <w:ind w:left="0"/>
            </w:pPr>
            <w:r>
              <w:t>22.</w:t>
            </w:r>
            <w:r w:rsidR="00E16C53">
              <w:t>2.</w:t>
            </w:r>
            <w:r w:rsidR="00D04876">
              <w:t>6</w:t>
            </w:r>
            <w:r w:rsidR="00E16C53">
              <w:t>*</w:t>
            </w:r>
          </w:p>
        </w:tc>
        <w:tc>
          <w:tcPr>
            <w:tcW w:w="3895" w:type="dxa"/>
            <w:gridSpan w:val="5"/>
            <w:tcBorders>
              <w:top w:val="dashed" w:sz="4" w:space="0" w:color="auto"/>
              <w:bottom w:val="dashed" w:sz="4" w:space="0" w:color="auto"/>
            </w:tcBorders>
            <w:vAlign w:val="center"/>
          </w:tcPr>
          <w:p w:rsidR="00D04876" w:rsidRDefault="00D04876" w:rsidP="00D04876">
            <w:pPr>
              <w:pStyle w:val="Listenabsatz"/>
              <w:ind w:left="0"/>
            </w:pPr>
            <w:r>
              <w:t>Entsprechen die Entnahmen aus den zusätzlichen Abschreibungen den gesetzlichen Vorgaben?</w:t>
            </w:r>
          </w:p>
          <w:p w:rsidR="00E16C53" w:rsidRPr="00245D97" w:rsidRDefault="00D04876" w:rsidP="00D04876">
            <w:pPr>
              <w:pStyle w:val="Listenabsatz"/>
              <w:numPr>
                <w:ilvl w:val="0"/>
                <w:numId w:val="23"/>
              </w:numPr>
              <w:ind w:left="307" w:hanging="307"/>
            </w:pPr>
            <w:r w:rsidRPr="00D04876">
              <w:t>Die Entnahme aus den zusätzlichen Abschreibungen erfolgt ab dem der Einlage folgenden Jahr zu jährlich gleichen Teilen über die gesamte Restabschreibungsdauer des entsprechenden Investitionsobjekts des Verwaltungsvermögens</w:t>
            </w:r>
            <w:r w:rsidR="00AC0A60">
              <w:t>.</w:t>
            </w:r>
          </w:p>
        </w:tc>
        <w:sdt>
          <w:sdtPr>
            <w:id w:val="-811095349"/>
            <w14:checkbox>
              <w14:checked w14:val="0"/>
              <w14:checkedState w14:val="2612" w14:font="MS Gothic"/>
              <w14:uncheckedState w14:val="2610" w14:font="MS Gothic"/>
            </w14:checkbox>
          </w:sdtPr>
          <w:sdtEndPr/>
          <w:sdtContent>
            <w:tc>
              <w:tcPr>
                <w:tcW w:w="603" w:type="dxa"/>
                <w:tcBorders>
                  <w:top w:val="dashed" w:sz="4" w:space="0" w:color="auto"/>
                  <w:bottom w:val="dashed" w:sz="4" w:space="0" w:color="auto"/>
                </w:tcBorders>
                <w:vAlign w:val="center"/>
              </w:tcPr>
              <w:p w:rsidR="00E16C53" w:rsidRDefault="00E16C53" w:rsidP="007159DF">
                <w:pPr>
                  <w:pStyle w:val="Listenabsatz"/>
                  <w:ind w:left="0"/>
                  <w:jc w:val="center"/>
                </w:pPr>
                <w:r>
                  <w:rPr>
                    <w:rFonts w:ascii="MS Gothic" w:eastAsia="MS Gothic" w:hAnsi="MS Gothic" w:hint="eastAsia"/>
                  </w:rPr>
                  <w:t>☐</w:t>
                </w:r>
              </w:p>
            </w:tc>
          </w:sdtContent>
        </w:sdt>
        <w:tc>
          <w:tcPr>
            <w:tcW w:w="2898" w:type="dxa"/>
            <w:gridSpan w:val="4"/>
            <w:tcBorders>
              <w:top w:val="dashed" w:sz="4" w:space="0" w:color="auto"/>
              <w:bottom w:val="dashed" w:sz="4" w:space="0" w:color="auto"/>
            </w:tcBorders>
            <w:vAlign w:val="center"/>
          </w:tcPr>
          <w:p w:rsidR="00E16C53" w:rsidRDefault="00E16C53" w:rsidP="007159DF">
            <w:pPr>
              <w:pStyle w:val="Listenabsatz"/>
              <w:ind w:left="0"/>
            </w:pPr>
          </w:p>
        </w:tc>
        <w:tc>
          <w:tcPr>
            <w:tcW w:w="1232" w:type="dxa"/>
            <w:tcBorders>
              <w:top w:val="dashed" w:sz="4" w:space="0" w:color="auto"/>
              <w:bottom w:val="dashed" w:sz="4" w:space="0" w:color="auto"/>
            </w:tcBorders>
            <w:vAlign w:val="center"/>
          </w:tcPr>
          <w:p w:rsidR="00E16C53" w:rsidRDefault="00E16C53" w:rsidP="007159DF">
            <w:pPr>
              <w:pStyle w:val="Listenabsatz"/>
              <w:ind w:left="0"/>
            </w:pPr>
          </w:p>
        </w:tc>
      </w:tr>
      <w:tr w:rsidR="007F3904" w:rsidTr="005C600B">
        <w:trPr>
          <w:trHeight w:val="567"/>
        </w:trPr>
        <w:tc>
          <w:tcPr>
            <w:tcW w:w="999" w:type="dxa"/>
            <w:tcBorders>
              <w:top w:val="dashed" w:sz="4" w:space="0" w:color="auto"/>
              <w:bottom w:val="dashed" w:sz="4" w:space="0" w:color="auto"/>
            </w:tcBorders>
            <w:vAlign w:val="center"/>
          </w:tcPr>
          <w:p w:rsidR="007F3904" w:rsidRDefault="00335147" w:rsidP="00D04876">
            <w:pPr>
              <w:pStyle w:val="Listenabsatz"/>
              <w:ind w:left="0"/>
            </w:pPr>
            <w:r>
              <w:t>22.</w:t>
            </w:r>
            <w:r w:rsidR="007F3904">
              <w:t>2.</w:t>
            </w:r>
            <w:r w:rsidR="00D04876">
              <w:t>7</w:t>
            </w:r>
          </w:p>
        </w:tc>
        <w:tc>
          <w:tcPr>
            <w:tcW w:w="3895" w:type="dxa"/>
            <w:gridSpan w:val="5"/>
            <w:tcBorders>
              <w:top w:val="dashed" w:sz="4" w:space="0" w:color="auto"/>
              <w:bottom w:val="dashed" w:sz="4" w:space="0" w:color="auto"/>
            </w:tcBorders>
            <w:vAlign w:val="center"/>
          </w:tcPr>
          <w:p w:rsidR="007F3904" w:rsidRDefault="007F3904" w:rsidP="007F3904">
            <w:pPr>
              <w:spacing w:before="60"/>
            </w:pPr>
            <w:r>
              <w:t>Wurden die Einlagen und Entnahmen korrekt verbucht?</w:t>
            </w:r>
          </w:p>
          <w:p w:rsidR="007F3904" w:rsidRPr="004D2376" w:rsidRDefault="007F3904" w:rsidP="007F3904">
            <w:pPr>
              <w:spacing w:before="60"/>
              <w:rPr>
                <w:b/>
                <w:i/>
              </w:rPr>
            </w:pPr>
            <w:r>
              <w:rPr>
                <w:b/>
                <w:i/>
              </w:rPr>
              <w:t>Zusätzliche Abschreibungen (allgemeiner Haushalt)</w:t>
            </w:r>
          </w:p>
          <w:p w:rsidR="007F3904" w:rsidRDefault="007F3904" w:rsidP="007F3904">
            <w:pPr>
              <w:spacing w:before="60"/>
            </w:pPr>
            <w:r>
              <w:t>Einlage:</w:t>
            </w:r>
          </w:p>
          <w:p w:rsidR="007F3904" w:rsidRDefault="007F3904" w:rsidP="007F3904">
            <w:pPr>
              <w:spacing w:before="60"/>
            </w:pPr>
            <w:r>
              <w:t>Soll 990.3891 Haben 2931</w:t>
            </w:r>
          </w:p>
          <w:p w:rsidR="007F3904" w:rsidRDefault="007F3904" w:rsidP="007F3904">
            <w:pPr>
              <w:spacing w:before="60"/>
            </w:pPr>
            <w:r>
              <w:t>Entnahme:</w:t>
            </w:r>
          </w:p>
          <w:p w:rsidR="007F3904" w:rsidRDefault="007F3904" w:rsidP="007F3904">
            <w:pPr>
              <w:spacing w:before="60"/>
            </w:pPr>
            <w:r>
              <w:t>Soll 2931 Haben 990.4891</w:t>
            </w:r>
          </w:p>
          <w:p w:rsidR="007F3904" w:rsidRPr="004D2376" w:rsidRDefault="007F3904" w:rsidP="007F3904">
            <w:pPr>
              <w:spacing w:before="60"/>
              <w:rPr>
                <w:b/>
                <w:i/>
              </w:rPr>
            </w:pPr>
            <w:r>
              <w:rPr>
                <w:b/>
                <w:i/>
              </w:rPr>
              <w:t>Zusätzliche Abschreibungen (Spezialfinanzierungen)</w:t>
            </w:r>
          </w:p>
          <w:p w:rsidR="007F3904" w:rsidRDefault="007F3904" w:rsidP="007F3904">
            <w:pPr>
              <w:spacing w:before="60"/>
            </w:pPr>
            <w:r>
              <w:t>Einlage:</w:t>
            </w:r>
          </w:p>
          <w:p w:rsidR="007F3904" w:rsidRDefault="007F3904" w:rsidP="007F3904">
            <w:pPr>
              <w:spacing w:before="60"/>
            </w:pPr>
            <w:r>
              <w:t>Soll xxx.3516 Haben 2900x.2</w:t>
            </w:r>
          </w:p>
          <w:p w:rsidR="007F3904" w:rsidRDefault="007F3904" w:rsidP="007F3904">
            <w:pPr>
              <w:spacing w:before="60"/>
            </w:pPr>
            <w:r>
              <w:t>Entnahme:</w:t>
            </w:r>
          </w:p>
          <w:p w:rsidR="007F3904" w:rsidRDefault="007F3904" w:rsidP="007F3904">
            <w:pPr>
              <w:spacing w:before="60"/>
            </w:pPr>
            <w:r>
              <w:t>Soll 2900x.2 Haben xxx.4516</w:t>
            </w:r>
          </w:p>
        </w:tc>
        <w:sdt>
          <w:sdtPr>
            <w:id w:val="-676730774"/>
            <w14:checkbox>
              <w14:checked w14:val="0"/>
              <w14:checkedState w14:val="2612" w14:font="MS Gothic"/>
              <w14:uncheckedState w14:val="2610" w14:font="MS Gothic"/>
            </w14:checkbox>
          </w:sdtPr>
          <w:sdtEndPr/>
          <w:sdtContent>
            <w:tc>
              <w:tcPr>
                <w:tcW w:w="603" w:type="dxa"/>
                <w:tcBorders>
                  <w:top w:val="dashed" w:sz="4" w:space="0" w:color="auto"/>
                  <w:bottom w:val="dashed" w:sz="4" w:space="0" w:color="auto"/>
                </w:tcBorders>
                <w:vAlign w:val="center"/>
              </w:tcPr>
              <w:p w:rsidR="007F3904" w:rsidRDefault="007F3904" w:rsidP="007F3904">
                <w:pPr>
                  <w:pStyle w:val="Listenabsatz"/>
                  <w:ind w:left="0"/>
                  <w:jc w:val="center"/>
                </w:pPr>
                <w:r>
                  <w:rPr>
                    <w:rFonts w:ascii="MS Gothic" w:eastAsia="MS Gothic" w:hAnsi="MS Gothic" w:hint="eastAsia"/>
                  </w:rPr>
                  <w:t>☐</w:t>
                </w:r>
              </w:p>
            </w:tc>
          </w:sdtContent>
        </w:sdt>
        <w:tc>
          <w:tcPr>
            <w:tcW w:w="2898" w:type="dxa"/>
            <w:gridSpan w:val="4"/>
            <w:tcBorders>
              <w:top w:val="dashed" w:sz="4" w:space="0" w:color="auto"/>
              <w:bottom w:val="dashed" w:sz="4" w:space="0" w:color="auto"/>
            </w:tcBorders>
            <w:vAlign w:val="center"/>
          </w:tcPr>
          <w:p w:rsidR="007F3904" w:rsidRDefault="007F3904" w:rsidP="007F3904">
            <w:pPr>
              <w:pStyle w:val="Listenabsatz"/>
              <w:ind w:left="0"/>
            </w:pPr>
          </w:p>
        </w:tc>
        <w:tc>
          <w:tcPr>
            <w:tcW w:w="1232" w:type="dxa"/>
            <w:tcBorders>
              <w:top w:val="dashed" w:sz="4" w:space="0" w:color="auto"/>
              <w:bottom w:val="dashed" w:sz="4" w:space="0" w:color="auto"/>
            </w:tcBorders>
            <w:vAlign w:val="center"/>
          </w:tcPr>
          <w:p w:rsidR="007F3904" w:rsidRDefault="007F3904" w:rsidP="007F3904">
            <w:pPr>
              <w:pStyle w:val="Listenabsatz"/>
              <w:ind w:left="0"/>
            </w:pPr>
          </w:p>
        </w:tc>
      </w:tr>
      <w:tr w:rsidR="007F3904" w:rsidTr="005C600B">
        <w:trPr>
          <w:trHeight w:val="567"/>
        </w:trPr>
        <w:tc>
          <w:tcPr>
            <w:tcW w:w="999" w:type="dxa"/>
            <w:tcBorders>
              <w:top w:val="single" w:sz="4" w:space="0" w:color="auto"/>
              <w:bottom w:val="dashed" w:sz="4" w:space="0" w:color="auto"/>
            </w:tcBorders>
            <w:shd w:val="clear" w:color="auto" w:fill="D9D9D9" w:themeFill="background1" w:themeFillShade="D9"/>
            <w:vAlign w:val="center"/>
          </w:tcPr>
          <w:p w:rsidR="007F3904" w:rsidRPr="00886FCC" w:rsidRDefault="00335147" w:rsidP="007F3904">
            <w:pPr>
              <w:pStyle w:val="Listenabsatz"/>
              <w:ind w:left="0"/>
              <w:rPr>
                <w:b/>
                <w:sz w:val="24"/>
                <w:szCs w:val="24"/>
              </w:rPr>
            </w:pPr>
            <w:r>
              <w:rPr>
                <w:b/>
                <w:sz w:val="24"/>
                <w:szCs w:val="24"/>
              </w:rPr>
              <w:t>22.</w:t>
            </w:r>
            <w:r w:rsidR="007F3904" w:rsidRPr="00886FCC">
              <w:rPr>
                <w:b/>
                <w:sz w:val="24"/>
                <w:szCs w:val="24"/>
              </w:rPr>
              <w:t>3</w:t>
            </w:r>
          </w:p>
        </w:tc>
        <w:tc>
          <w:tcPr>
            <w:tcW w:w="3895" w:type="dxa"/>
            <w:gridSpan w:val="5"/>
            <w:tcBorders>
              <w:top w:val="single" w:sz="4" w:space="0" w:color="auto"/>
              <w:bottom w:val="dashed" w:sz="4" w:space="0" w:color="auto"/>
            </w:tcBorders>
            <w:shd w:val="clear" w:color="auto" w:fill="D9D9D9" w:themeFill="background1" w:themeFillShade="D9"/>
            <w:vAlign w:val="center"/>
          </w:tcPr>
          <w:p w:rsidR="007F3904" w:rsidRPr="00886FCC" w:rsidRDefault="007F3904" w:rsidP="007F3904">
            <w:pPr>
              <w:pStyle w:val="Listenabsatz"/>
              <w:ind w:left="0"/>
              <w:rPr>
                <w:b/>
                <w:sz w:val="24"/>
                <w:szCs w:val="24"/>
              </w:rPr>
            </w:pPr>
            <w:r w:rsidRPr="00886FCC">
              <w:rPr>
                <w:b/>
                <w:sz w:val="24"/>
                <w:szCs w:val="24"/>
              </w:rPr>
              <w:t>Übrige Prüfungshandlungen</w:t>
            </w:r>
          </w:p>
        </w:tc>
        <w:tc>
          <w:tcPr>
            <w:tcW w:w="603" w:type="dxa"/>
            <w:tcBorders>
              <w:top w:val="single" w:sz="4" w:space="0" w:color="auto"/>
              <w:bottom w:val="dashed" w:sz="4" w:space="0" w:color="auto"/>
            </w:tcBorders>
            <w:shd w:val="clear" w:color="auto" w:fill="D9D9D9" w:themeFill="background1" w:themeFillShade="D9"/>
            <w:vAlign w:val="center"/>
          </w:tcPr>
          <w:p w:rsidR="007F3904" w:rsidRPr="00886FCC" w:rsidRDefault="007F3904" w:rsidP="007F3904">
            <w:pPr>
              <w:pStyle w:val="Listenabsatz"/>
              <w:ind w:left="0"/>
              <w:jc w:val="center"/>
              <w:rPr>
                <w:b/>
                <w:sz w:val="24"/>
                <w:szCs w:val="24"/>
              </w:rPr>
            </w:pPr>
            <w:proofErr w:type="spellStart"/>
            <w:r w:rsidRPr="00886FCC">
              <w:rPr>
                <w:b/>
                <w:sz w:val="24"/>
                <w:szCs w:val="24"/>
              </w:rPr>
              <w:t>i.O</w:t>
            </w:r>
            <w:proofErr w:type="spellEnd"/>
            <w:r w:rsidRPr="00886FCC">
              <w:rPr>
                <w:b/>
                <w:sz w:val="24"/>
                <w:szCs w:val="24"/>
              </w:rPr>
              <w:t>.</w:t>
            </w:r>
          </w:p>
        </w:tc>
        <w:tc>
          <w:tcPr>
            <w:tcW w:w="2898" w:type="dxa"/>
            <w:gridSpan w:val="4"/>
            <w:tcBorders>
              <w:top w:val="single" w:sz="4" w:space="0" w:color="auto"/>
              <w:bottom w:val="dashed" w:sz="4" w:space="0" w:color="auto"/>
            </w:tcBorders>
            <w:shd w:val="clear" w:color="auto" w:fill="D9D9D9" w:themeFill="background1" w:themeFillShade="D9"/>
            <w:vAlign w:val="center"/>
          </w:tcPr>
          <w:p w:rsidR="007F3904" w:rsidRPr="00886FCC" w:rsidRDefault="007F3904" w:rsidP="007F3904">
            <w:pPr>
              <w:pStyle w:val="Listenabsatz"/>
              <w:ind w:left="0"/>
              <w:rPr>
                <w:b/>
                <w:sz w:val="24"/>
                <w:szCs w:val="24"/>
              </w:rPr>
            </w:pPr>
            <w:r w:rsidRPr="00886FCC">
              <w:rPr>
                <w:b/>
                <w:sz w:val="24"/>
                <w:szCs w:val="24"/>
              </w:rPr>
              <w:t>Feststellungen, Bemerkungen</w:t>
            </w:r>
          </w:p>
        </w:tc>
        <w:tc>
          <w:tcPr>
            <w:tcW w:w="1232" w:type="dxa"/>
            <w:tcBorders>
              <w:top w:val="single" w:sz="4" w:space="0" w:color="auto"/>
              <w:bottom w:val="dashed" w:sz="4" w:space="0" w:color="auto"/>
            </w:tcBorders>
            <w:shd w:val="clear" w:color="auto" w:fill="D9D9D9" w:themeFill="background1" w:themeFillShade="D9"/>
            <w:vAlign w:val="center"/>
          </w:tcPr>
          <w:p w:rsidR="007F3904" w:rsidRPr="00886FCC" w:rsidRDefault="007F3904" w:rsidP="007F3904">
            <w:pPr>
              <w:pStyle w:val="Listenabsatz"/>
              <w:ind w:left="0"/>
              <w:rPr>
                <w:b/>
                <w:sz w:val="24"/>
                <w:szCs w:val="24"/>
              </w:rPr>
            </w:pPr>
            <w:r w:rsidRPr="00886FCC">
              <w:rPr>
                <w:b/>
                <w:sz w:val="24"/>
                <w:szCs w:val="24"/>
              </w:rPr>
              <w:t>Referenz</w:t>
            </w:r>
          </w:p>
        </w:tc>
      </w:tr>
      <w:tr w:rsidR="007F3904" w:rsidTr="005C600B">
        <w:trPr>
          <w:trHeight w:val="567"/>
        </w:trPr>
        <w:tc>
          <w:tcPr>
            <w:tcW w:w="999" w:type="dxa"/>
            <w:tcBorders>
              <w:top w:val="single" w:sz="4" w:space="0" w:color="auto"/>
              <w:bottom w:val="dashed" w:sz="4" w:space="0" w:color="auto"/>
            </w:tcBorders>
            <w:vAlign w:val="center"/>
          </w:tcPr>
          <w:p w:rsidR="007F3904" w:rsidRDefault="00335147" w:rsidP="007F3904">
            <w:pPr>
              <w:pStyle w:val="Listenabsatz"/>
              <w:ind w:left="0"/>
            </w:pPr>
            <w:r>
              <w:t>22.</w:t>
            </w:r>
            <w:r w:rsidR="007F3904">
              <w:t>3.1</w:t>
            </w:r>
          </w:p>
        </w:tc>
        <w:tc>
          <w:tcPr>
            <w:tcW w:w="3895" w:type="dxa"/>
            <w:gridSpan w:val="5"/>
            <w:tcBorders>
              <w:top w:val="single" w:sz="4" w:space="0" w:color="auto"/>
              <w:bottom w:val="dashed" w:sz="4" w:space="0" w:color="auto"/>
            </w:tcBorders>
            <w:vAlign w:val="center"/>
          </w:tcPr>
          <w:p w:rsidR="007F3904" w:rsidRDefault="007F3904" w:rsidP="007F3904">
            <w:pPr>
              <w:pStyle w:val="Listenabsatz"/>
              <w:ind w:left="0"/>
            </w:pPr>
            <w:r>
              <w:t>Entsprechen die bilanzierten Vorfinanzierungen den gesetzlichen Vorgaben (bestimmte künftige Investitionsausgabe, genaue Zweckbestimmung)?</w:t>
            </w:r>
          </w:p>
        </w:tc>
        <w:sdt>
          <w:sdtPr>
            <w:id w:val="1452904433"/>
            <w14:checkbox>
              <w14:checked w14:val="0"/>
              <w14:checkedState w14:val="2612" w14:font="MS Gothic"/>
              <w14:uncheckedState w14:val="2610" w14:font="MS Gothic"/>
            </w14:checkbox>
          </w:sdtPr>
          <w:sdtEndPr/>
          <w:sdtContent>
            <w:tc>
              <w:tcPr>
                <w:tcW w:w="603" w:type="dxa"/>
                <w:tcBorders>
                  <w:top w:val="single" w:sz="4" w:space="0" w:color="auto"/>
                  <w:bottom w:val="dashed" w:sz="4" w:space="0" w:color="auto"/>
                </w:tcBorders>
                <w:vAlign w:val="center"/>
              </w:tcPr>
              <w:p w:rsidR="007F3904" w:rsidRDefault="007F3904" w:rsidP="007F3904">
                <w:pPr>
                  <w:pStyle w:val="Listenabsatz"/>
                  <w:ind w:left="0"/>
                  <w:jc w:val="center"/>
                </w:pPr>
                <w:r>
                  <w:rPr>
                    <w:rFonts w:ascii="MS Gothic" w:eastAsia="MS Gothic" w:hAnsi="MS Gothic" w:hint="eastAsia"/>
                  </w:rPr>
                  <w:t>☐</w:t>
                </w:r>
              </w:p>
            </w:tc>
          </w:sdtContent>
        </w:sdt>
        <w:tc>
          <w:tcPr>
            <w:tcW w:w="2898" w:type="dxa"/>
            <w:gridSpan w:val="4"/>
            <w:tcBorders>
              <w:top w:val="single" w:sz="4" w:space="0" w:color="auto"/>
              <w:bottom w:val="dashed" w:sz="4" w:space="0" w:color="auto"/>
            </w:tcBorders>
            <w:vAlign w:val="center"/>
          </w:tcPr>
          <w:p w:rsidR="007F3904" w:rsidRDefault="007F3904" w:rsidP="007F3904">
            <w:pPr>
              <w:pStyle w:val="Listenabsatz"/>
              <w:ind w:left="0"/>
            </w:pPr>
          </w:p>
        </w:tc>
        <w:tc>
          <w:tcPr>
            <w:tcW w:w="1232" w:type="dxa"/>
            <w:tcBorders>
              <w:top w:val="single" w:sz="4" w:space="0" w:color="auto"/>
              <w:bottom w:val="dashed" w:sz="4" w:space="0" w:color="auto"/>
            </w:tcBorders>
            <w:vAlign w:val="center"/>
          </w:tcPr>
          <w:p w:rsidR="007F3904" w:rsidRDefault="007F3904" w:rsidP="007F3904">
            <w:pPr>
              <w:pStyle w:val="Listenabsatz"/>
              <w:ind w:left="0"/>
            </w:pPr>
          </w:p>
        </w:tc>
      </w:tr>
      <w:tr w:rsidR="007F3904" w:rsidTr="005C600B">
        <w:trPr>
          <w:trHeight w:val="567"/>
        </w:trPr>
        <w:tc>
          <w:tcPr>
            <w:tcW w:w="999" w:type="dxa"/>
            <w:tcBorders>
              <w:top w:val="single" w:sz="4" w:space="0" w:color="auto"/>
              <w:bottom w:val="single" w:sz="4" w:space="0" w:color="auto"/>
            </w:tcBorders>
            <w:shd w:val="clear" w:color="auto" w:fill="D9D9D9" w:themeFill="background1" w:themeFillShade="D9"/>
            <w:vAlign w:val="center"/>
          </w:tcPr>
          <w:p w:rsidR="007F3904" w:rsidRPr="00523C50" w:rsidRDefault="00335147" w:rsidP="007F3904">
            <w:pPr>
              <w:pStyle w:val="Listenabsatz"/>
              <w:ind w:left="0"/>
              <w:rPr>
                <w:b/>
                <w:sz w:val="24"/>
                <w:szCs w:val="24"/>
              </w:rPr>
            </w:pPr>
            <w:r>
              <w:rPr>
                <w:b/>
                <w:sz w:val="24"/>
                <w:szCs w:val="24"/>
              </w:rPr>
              <w:t>22.</w:t>
            </w:r>
            <w:r w:rsidR="007F3904" w:rsidRPr="00523C50">
              <w:rPr>
                <w:b/>
                <w:sz w:val="24"/>
                <w:szCs w:val="24"/>
              </w:rPr>
              <w:t>4</w:t>
            </w:r>
          </w:p>
        </w:tc>
        <w:tc>
          <w:tcPr>
            <w:tcW w:w="8628" w:type="dxa"/>
            <w:gridSpan w:val="11"/>
            <w:tcBorders>
              <w:top w:val="single" w:sz="4" w:space="0" w:color="auto"/>
              <w:bottom w:val="single" w:sz="4" w:space="0" w:color="auto"/>
            </w:tcBorders>
            <w:shd w:val="clear" w:color="auto" w:fill="D9D9D9" w:themeFill="background1" w:themeFillShade="D9"/>
            <w:vAlign w:val="center"/>
          </w:tcPr>
          <w:p w:rsidR="007F3904" w:rsidRPr="00523C50" w:rsidRDefault="007F3904" w:rsidP="007F3904">
            <w:pPr>
              <w:pStyle w:val="Listenabsatz"/>
              <w:ind w:left="0"/>
              <w:rPr>
                <w:b/>
                <w:sz w:val="24"/>
                <w:szCs w:val="24"/>
              </w:rPr>
            </w:pPr>
            <w:r w:rsidRPr="00523C50">
              <w:rPr>
                <w:b/>
                <w:sz w:val="24"/>
                <w:szCs w:val="24"/>
              </w:rPr>
              <w:t>Prüfungsbefund, abschliessende Beurteilung</w:t>
            </w:r>
          </w:p>
        </w:tc>
      </w:tr>
      <w:tr w:rsidR="007F3904" w:rsidTr="00BE65D6">
        <w:trPr>
          <w:trHeight w:val="567"/>
        </w:trPr>
        <w:tc>
          <w:tcPr>
            <w:tcW w:w="9627" w:type="dxa"/>
            <w:gridSpan w:val="12"/>
            <w:tcBorders>
              <w:top w:val="single" w:sz="4" w:space="0" w:color="auto"/>
              <w:bottom w:val="single" w:sz="4" w:space="0" w:color="auto"/>
            </w:tcBorders>
            <w:vAlign w:val="center"/>
          </w:tcPr>
          <w:p w:rsidR="007F3904" w:rsidRPr="00242072" w:rsidRDefault="007F3904" w:rsidP="007F3904">
            <w:pPr>
              <w:pStyle w:val="Listenabsatz"/>
              <w:ind w:left="0"/>
              <w:rPr>
                <w:b/>
              </w:rPr>
            </w:pPr>
          </w:p>
          <w:p w:rsidR="007F3904" w:rsidRPr="00242072" w:rsidRDefault="007F3904" w:rsidP="007F3904">
            <w:pPr>
              <w:pStyle w:val="Listenabsatz"/>
              <w:ind w:left="0"/>
              <w:rPr>
                <w:b/>
              </w:rPr>
            </w:pPr>
          </w:p>
          <w:p w:rsidR="007F3904" w:rsidRDefault="007F3904" w:rsidP="007F3904">
            <w:pPr>
              <w:pStyle w:val="Listenabsatz"/>
              <w:ind w:left="0"/>
              <w:rPr>
                <w:b/>
              </w:rPr>
            </w:pPr>
          </w:p>
          <w:p w:rsidR="007F3904" w:rsidRPr="00242072" w:rsidRDefault="007F3904" w:rsidP="007F3904">
            <w:pPr>
              <w:pStyle w:val="Listenabsatz"/>
              <w:ind w:left="0"/>
              <w:rPr>
                <w:b/>
              </w:rPr>
            </w:pPr>
          </w:p>
          <w:p w:rsidR="007F3904" w:rsidRPr="00523C50" w:rsidRDefault="007F3904" w:rsidP="007F3904">
            <w:pPr>
              <w:pStyle w:val="Listenabsatz"/>
              <w:ind w:left="0"/>
              <w:rPr>
                <w:b/>
                <w:sz w:val="24"/>
                <w:szCs w:val="24"/>
              </w:rPr>
            </w:pPr>
          </w:p>
        </w:tc>
      </w:tr>
      <w:tr w:rsidR="00BE65D6" w:rsidTr="00BE65D6">
        <w:trPr>
          <w:trHeight w:val="340"/>
        </w:trPr>
        <w:tc>
          <w:tcPr>
            <w:tcW w:w="9627" w:type="dxa"/>
            <w:gridSpan w:val="12"/>
            <w:tcBorders>
              <w:top w:val="single" w:sz="4" w:space="0" w:color="auto"/>
              <w:left w:val="nil"/>
              <w:bottom w:val="nil"/>
              <w:right w:val="nil"/>
            </w:tcBorders>
          </w:tcPr>
          <w:p w:rsidR="00BE65D6" w:rsidRDefault="00BE65D6" w:rsidP="007661D2">
            <w:pPr>
              <w:pStyle w:val="Listenabsatz"/>
              <w:ind w:left="0"/>
            </w:pPr>
          </w:p>
        </w:tc>
      </w:tr>
      <w:tr w:rsidR="00BE65D6" w:rsidTr="00BE65D6">
        <w:trPr>
          <w:trHeight w:val="340"/>
        </w:trPr>
        <w:tc>
          <w:tcPr>
            <w:tcW w:w="9627" w:type="dxa"/>
            <w:gridSpan w:val="12"/>
            <w:tcBorders>
              <w:top w:val="nil"/>
              <w:left w:val="nil"/>
              <w:bottom w:val="nil"/>
              <w:right w:val="nil"/>
            </w:tcBorders>
          </w:tcPr>
          <w:p w:rsidR="00BE65D6" w:rsidRDefault="00BE65D6" w:rsidP="007661D2">
            <w:pPr>
              <w:pStyle w:val="Listenabsatz"/>
              <w:ind w:left="0"/>
            </w:pPr>
          </w:p>
        </w:tc>
      </w:tr>
      <w:tr w:rsidR="00BE65D6" w:rsidTr="00BE65D6">
        <w:trPr>
          <w:trHeight w:val="340"/>
        </w:trPr>
        <w:tc>
          <w:tcPr>
            <w:tcW w:w="9627" w:type="dxa"/>
            <w:gridSpan w:val="12"/>
            <w:tcBorders>
              <w:top w:val="nil"/>
              <w:left w:val="nil"/>
              <w:bottom w:val="nil"/>
              <w:right w:val="nil"/>
            </w:tcBorders>
          </w:tcPr>
          <w:p w:rsidR="00BE65D6" w:rsidRPr="00886FCC" w:rsidRDefault="00BE65D6" w:rsidP="007661D2">
            <w:pPr>
              <w:pStyle w:val="Listenabsatz"/>
              <w:ind w:left="-112"/>
              <w:rPr>
                <w:rFonts w:cs="Arial"/>
                <w:b/>
                <w:sz w:val="28"/>
                <w:szCs w:val="28"/>
              </w:rPr>
            </w:pPr>
            <w:r w:rsidRPr="00886FCC">
              <w:rPr>
                <w:rFonts w:cs="Arial"/>
                <w:b/>
                <w:sz w:val="28"/>
                <w:szCs w:val="28"/>
              </w:rPr>
              <w:t>Empfehlungen und Hinweise zum Prüfgebiet</w:t>
            </w:r>
          </w:p>
        </w:tc>
      </w:tr>
      <w:tr w:rsidR="00BE65D6" w:rsidTr="00BE65D6">
        <w:trPr>
          <w:trHeight w:val="170"/>
        </w:trPr>
        <w:tc>
          <w:tcPr>
            <w:tcW w:w="9627" w:type="dxa"/>
            <w:gridSpan w:val="12"/>
            <w:tcBorders>
              <w:top w:val="nil"/>
              <w:left w:val="nil"/>
              <w:bottom w:val="single" w:sz="4" w:space="0" w:color="auto"/>
              <w:right w:val="nil"/>
            </w:tcBorders>
          </w:tcPr>
          <w:p w:rsidR="00BE65D6" w:rsidRPr="00886FCC" w:rsidRDefault="00BE65D6" w:rsidP="007661D2">
            <w:pPr>
              <w:pStyle w:val="Listenabsatz"/>
              <w:ind w:left="0"/>
              <w:rPr>
                <w:rFonts w:cs="Arial"/>
                <w:b/>
                <w:sz w:val="28"/>
                <w:szCs w:val="28"/>
              </w:rPr>
            </w:pPr>
          </w:p>
        </w:tc>
      </w:tr>
      <w:tr w:rsidR="00BE65D6" w:rsidTr="00412FA6">
        <w:trPr>
          <w:trHeight w:val="567"/>
        </w:trPr>
        <w:tc>
          <w:tcPr>
            <w:tcW w:w="9627" w:type="dxa"/>
            <w:gridSpan w:val="12"/>
            <w:tcBorders>
              <w:top w:val="single" w:sz="4" w:space="0" w:color="auto"/>
              <w:bottom w:val="dashed" w:sz="4" w:space="0" w:color="auto"/>
            </w:tcBorders>
          </w:tcPr>
          <w:p w:rsidR="00BE65D6" w:rsidRDefault="00BE65D6" w:rsidP="00BE65D6">
            <w:pPr>
              <w:rPr>
                <w:color w:val="000000" w:themeColor="text1"/>
              </w:rPr>
            </w:pPr>
            <w:r w:rsidRPr="00BE65D6">
              <w:rPr>
                <w:color w:val="000000" w:themeColor="text1"/>
              </w:rPr>
              <w:t xml:space="preserve">Eine Einlage in die Vorfinanzierungen wird durch Bürgerschaft oder Parlament mit dem Budget oder der Jahresrechnung beschlossen. Der Zweck der Vorfinanzierung muss genau bestimmt sein. Eine Einlage in die Vorfinanzierungen kann vorgenommen werden, wenn kein Bilanzfehlbetrag besteht und sie im Gesamtergebnis der Erfolgsrechnung nicht zu einem Aufwandüberschuss führt. Die </w:t>
            </w:r>
            <w:proofErr w:type="spellStart"/>
            <w:proofErr w:type="gramStart"/>
            <w:r w:rsidRPr="00BE65D6">
              <w:rPr>
                <w:color w:val="000000" w:themeColor="text1"/>
              </w:rPr>
              <w:t>Ent-nahme</w:t>
            </w:r>
            <w:proofErr w:type="spellEnd"/>
            <w:proofErr w:type="gramEnd"/>
            <w:r w:rsidRPr="00BE65D6">
              <w:rPr>
                <w:color w:val="000000" w:themeColor="text1"/>
              </w:rPr>
              <w:t xml:space="preserve"> aus den Vorfinanzierungen erfolgt </w:t>
            </w:r>
            <w:r w:rsidR="005951DC">
              <w:rPr>
                <w:color w:val="000000" w:themeColor="text1"/>
              </w:rPr>
              <w:t xml:space="preserve">zwingend </w:t>
            </w:r>
            <w:r w:rsidRPr="00BE65D6">
              <w:rPr>
                <w:color w:val="000000" w:themeColor="text1"/>
              </w:rPr>
              <w:t>ab Beginn der Abschreibung des vorfinanzierten Investitionsobjekts zu jährlich gleichen Teilen über dessen Abschreibungsdauer. Eine Vorfinanzierung wird erfolgswirksam aufgelöst, wenn ihr Zweck dahinfällt oder nicht mehr erfüllt werden kann. Die Änderung der Zweckbestimmung is</w:t>
            </w:r>
            <w:r>
              <w:rPr>
                <w:color w:val="000000" w:themeColor="text1"/>
              </w:rPr>
              <w:t>t nicht zulässig.</w:t>
            </w:r>
          </w:p>
          <w:p w:rsidR="00BE65D6" w:rsidRDefault="00BE65D6" w:rsidP="00BE65D6">
            <w:pPr>
              <w:rPr>
                <w:color w:val="000000" w:themeColor="text1"/>
              </w:rPr>
            </w:pPr>
          </w:p>
          <w:p w:rsidR="00BE65D6" w:rsidRPr="00BE65D6" w:rsidRDefault="00BE65D6" w:rsidP="00BE65D6">
            <w:pPr>
              <w:rPr>
                <w:color w:val="000000" w:themeColor="text1"/>
              </w:rPr>
            </w:pPr>
            <w:r w:rsidRPr="00BE65D6">
              <w:rPr>
                <w:color w:val="000000" w:themeColor="text1"/>
              </w:rPr>
              <w:t xml:space="preserve">Eine Einlage in die zusätzlichen Abschreibungen wird durch Bürgerschaft oder Parlament mit dem Budget oder der Jahresrechnung beschlossen. Eine Einlage in die zusätzlichen Abschreibungen kann vorgenommen werden, wenn kein Bilanzfehlbetrag besteht und sie im Gesamtergebnis der </w:t>
            </w:r>
            <w:proofErr w:type="gramStart"/>
            <w:r w:rsidRPr="00BE65D6">
              <w:rPr>
                <w:color w:val="000000" w:themeColor="text1"/>
              </w:rPr>
              <w:t>Er-</w:t>
            </w:r>
            <w:proofErr w:type="spellStart"/>
            <w:r w:rsidRPr="00BE65D6">
              <w:rPr>
                <w:color w:val="000000" w:themeColor="text1"/>
              </w:rPr>
              <w:t>folgsrechnung</w:t>
            </w:r>
            <w:proofErr w:type="spellEnd"/>
            <w:proofErr w:type="gramEnd"/>
            <w:r w:rsidRPr="00BE65D6">
              <w:rPr>
                <w:color w:val="000000" w:themeColor="text1"/>
              </w:rPr>
              <w:t xml:space="preserve"> nicht zu einem Aufwandüberschuss führt. Die Entnahme aus den zusätzlichen </w:t>
            </w:r>
            <w:proofErr w:type="gramStart"/>
            <w:r w:rsidRPr="00BE65D6">
              <w:rPr>
                <w:color w:val="000000" w:themeColor="text1"/>
              </w:rPr>
              <w:t>Ab-schreibungen</w:t>
            </w:r>
            <w:proofErr w:type="gramEnd"/>
            <w:r w:rsidRPr="00BE65D6">
              <w:rPr>
                <w:color w:val="000000" w:themeColor="text1"/>
              </w:rPr>
              <w:t xml:space="preserve"> erfolgt </w:t>
            </w:r>
            <w:r w:rsidR="005951DC">
              <w:rPr>
                <w:color w:val="000000" w:themeColor="text1"/>
              </w:rPr>
              <w:t xml:space="preserve">zwingend </w:t>
            </w:r>
            <w:r w:rsidRPr="00BE65D6">
              <w:rPr>
                <w:color w:val="000000" w:themeColor="text1"/>
              </w:rPr>
              <w:t>ab dem der Einlage folgenden Jahr zu jährlich gleichen Teilen über die gesamte Restabschreibungsdauer des entsprechenden Investitionsobjekts des Verwaltungsvermögens. Eine zusätzliche Abschreibung wird erfolgswirksam aufgelöst, wenn das entsprechende Investitionsobjekt nicht mehr Teil des Verwaltungsvermögens ist.</w:t>
            </w:r>
          </w:p>
        </w:tc>
      </w:tr>
    </w:tbl>
    <w:p w:rsidR="00DC0AE3" w:rsidRPr="000C47F4" w:rsidRDefault="00DC0AE3" w:rsidP="003C1505"/>
    <w:sectPr w:rsidR="00DC0AE3" w:rsidRPr="000C47F4" w:rsidSect="00833EA6">
      <w:footerReference w:type="default" r:id="rId12"/>
      <w:headerReference w:type="first" r:id="rId13"/>
      <w:footerReference w:type="first" r:id="rId14"/>
      <w:pgSz w:w="11906" w:h="16838" w:code="9"/>
      <w:pgMar w:top="1985" w:right="851" w:bottom="121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F1C" w:rsidRDefault="00021F1C" w:rsidP="004F60AB">
      <w:pPr>
        <w:spacing w:line="240" w:lineRule="auto"/>
      </w:pPr>
      <w:r>
        <w:separator/>
      </w:r>
    </w:p>
  </w:endnote>
  <w:endnote w:type="continuationSeparator" w:id="0">
    <w:p w:rsidR="00021F1C" w:rsidRDefault="00021F1C"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98" w:rsidRDefault="00AC0A60" w:rsidP="00C00698">
    <w:pPr>
      <w:pStyle w:val="Fuzeile"/>
    </w:pPr>
    <w:fldSimple w:instr=" FILENAME   \* MERGEFORMAT ">
      <w:r w:rsidR="00E56ED4">
        <w:t>GPK-Handbuch_22 Vorfinanzierungen und zusätzliche Abschreibungen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6F" w:rsidRDefault="00E56ED4">
    <w:pPr>
      <w:pStyle w:val="Fuzeile"/>
    </w:pPr>
    <w:r>
      <w:fldChar w:fldCharType="begin"/>
    </w:r>
    <w:r>
      <w:instrText xml:space="preserve"> FILENAME   \* MERGEFORMAT </w:instrText>
    </w:r>
    <w:r>
      <w:fldChar w:fldCharType="separate"/>
    </w:r>
    <w:r>
      <w:t>GPK-Handbuch_22 Vorfinanzierungen und zusätzliche Abschreibungen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F1C" w:rsidRDefault="00021F1C" w:rsidP="004F60AB">
      <w:pPr>
        <w:spacing w:line="240" w:lineRule="auto"/>
      </w:pPr>
      <w:r>
        <w:separator/>
      </w:r>
    </w:p>
  </w:footnote>
  <w:footnote w:type="continuationSeparator" w:id="0">
    <w:p w:rsidR="00021F1C" w:rsidRDefault="00021F1C"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E3" w:rsidRPr="00DC0AE3" w:rsidRDefault="00DC0AE3" w:rsidP="0095071A">
    <w:pPr>
      <w:pStyle w:val="Kopfzeile"/>
      <w:tabs>
        <w:tab w:val="clear" w:pos="9639"/>
        <w:tab w:val="left" w:pos="6237"/>
        <w:tab w:val="left" w:pos="7938"/>
        <w:tab w:val="right" w:pos="9637"/>
      </w:tabs>
      <w:rPr>
        <w:b/>
        <w:u w:val="single"/>
      </w:rPr>
    </w:pPr>
    <w:r w:rsidRPr="00296256">
      <w:rPr>
        <w:b/>
      </w:rPr>
      <w:t>GPK-Handbuch</w:t>
    </w:r>
    <w:r>
      <w:rPr>
        <w:b/>
      </w:rPr>
      <w:tab/>
    </w:r>
    <w:r w:rsidRPr="00DC0AE3">
      <w:t>Rechnungsjahr:</w:t>
    </w:r>
    <w:r w:rsidRPr="00DC0AE3">
      <w:tab/>
    </w:r>
    <w:r w:rsidRPr="00DC0AE3">
      <w:rPr>
        <w:u w:val="single"/>
      </w:rPr>
      <w:tab/>
    </w:r>
  </w:p>
  <w:p w:rsidR="00DC0AE3" w:rsidRPr="00DC0AE3" w:rsidRDefault="00DC0AE3" w:rsidP="00EF43A5">
    <w:pPr>
      <w:pStyle w:val="Kopfzeile"/>
      <w:tabs>
        <w:tab w:val="clear" w:pos="9639"/>
        <w:tab w:val="left" w:pos="6237"/>
        <w:tab w:val="left" w:pos="7938"/>
        <w:tab w:val="right" w:pos="9637"/>
      </w:tabs>
      <w:spacing w:line="140" w:lineRule="exact"/>
      <w:rPr>
        <w:b/>
        <w:sz w:val="16"/>
        <w:szCs w:val="16"/>
      </w:rPr>
    </w:pPr>
  </w:p>
  <w:p w:rsidR="00DC0AE3" w:rsidRDefault="00DC0AE3" w:rsidP="0095071A">
    <w:pPr>
      <w:pStyle w:val="Kopfzeile"/>
      <w:tabs>
        <w:tab w:val="clear" w:pos="9639"/>
        <w:tab w:val="left" w:pos="6237"/>
        <w:tab w:val="left" w:pos="7938"/>
        <w:tab w:val="right" w:pos="9637"/>
      </w:tabs>
      <w:rPr>
        <w:u w:val="single"/>
      </w:rPr>
    </w:pPr>
    <w:r w:rsidRPr="00296256">
      <w:rPr>
        <w:b/>
        <w:sz w:val="28"/>
        <w:szCs w:val="28"/>
      </w:rPr>
      <w:t>Arbeitspapiere</w:t>
    </w:r>
    <w:r>
      <w:rPr>
        <w:b/>
      </w:rPr>
      <w:tab/>
    </w:r>
    <w:r w:rsidRPr="00DC0AE3">
      <w:t xml:space="preserve">Datum: </w:t>
    </w:r>
    <w:r w:rsidRPr="00DC0AE3">
      <w:tab/>
    </w:r>
    <w:r w:rsidRPr="00DC0AE3">
      <w:rPr>
        <w:u w:val="single"/>
      </w:rPr>
      <w:tab/>
    </w:r>
  </w:p>
  <w:p w:rsidR="00E2799C" w:rsidRPr="00E2799C" w:rsidRDefault="00E2799C" w:rsidP="00EF43A5">
    <w:pPr>
      <w:pStyle w:val="Kopfzeile"/>
      <w:tabs>
        <w:tab w:val="clear" w:pos="9639"/>
        <w:tab w:val="left" w:pos="6237"/>
        <w:tab w:val="left" w:pos="7938"/>
        <w:tab w:val="right" w:pos="9637"/>
      </w:tabs>
      <w:spacing w:line="160" w:lineRule="exact"/>
      <w:rPr>
        <w:sz w:val="16"/>
        <w:szCs w:val="16"/>
      </w:rPr>
    </w:pPr>
  </w:p>
  <w:p w:rsidR="00E2799C" w:rsidRPr="00E2799C" w:rsidRDefault="00E2799C" w:rsidP="0095071A">
    <w:pPr>
      <w:pStyle w:val="Kopfzeile"/>
      <w:tabs>
        <w:tab w:val="clear" w:pos="9639"/>
        <w:tab w:val="left" w:pos="6237"/>
        <w:tab w:val="left" w:pos="7938"/>
        <w:tab w:val="right" w:pos="9637"/>
      </w:tabs>
      <w:rPr>
        <w:u w:val="single"/>
      </w:rPr>
    </w:pPr>
    <w:r>
      <w:tab/>
      <w:t>Visum:</w:t>
    </w:r>
    <w: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C1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92D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E2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1CA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A4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80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029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C9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128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E8F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80829"/>
    <w:multiLevelType w:val="hybridMultilevel"/>
    <w:tmpl w:val="56B83E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5927AEA"/>
    <w:multiLevelType w:val="hybridMultilevel"/>
    <w:tmpl w:val="6EFAF7CE"/>
    <w:lvl w:ilvl="0" w:tplc="95A42E7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F2B4EF3"/>
    <w:multiLevelType w:val="hybridMultilevel"/>
    <w:tmpl w:val="FB605590"/>
    <w:lvl w:ilvl="0" w:tplc="95A42E7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C733FCC"/>
    <w:multiLevelType w:val="hybridMultilevel"/>
    <w:tmpl w:val="329CF764"/>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744461B"/>
    <w:multiLevelType w:val="hybridMultilevel"/>
    <w:tmpl w:val="D4122FB8"/>
    <w:lvl w:ilvl="0" w:tplc="641635C2">
      <w:start w:val="2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18" w15:restartNumberingAfterBreak="0">
    <w:nsid w:val="533B57FD"/>
    <w:multiLevelType w:val="hybridMultilevel"/>
    <w:tmpl w:val="9440EC9E"/>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3AA3ED6"/>
    <w:multiLevelType w:val="hybridMultilevel"/>
    <w:tmpl w:val="C1E28D3A"/>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0164AA"/>
    <w:multiLevelType w:val="hybridMultilevel"/>
    <w:tmpl w:val="321473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6"/>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20"/>
  </w:num>
  <w:num w:numId="20">
    <w:abstractNumId w:val="10"/>
  </w:num>
  <w:num w:numId="21">
    <w:abstractNumId w:val="19"/>
  </w:num>
  <w:num w:numId="22">
    <w:abstractNumId w:val="18"/>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E3"/>
    <w:rsid w:val="000165E4"/>
    <w:rsid w:val="00021F1C"/>
    <w:rsid w:val="00071FA6"/>
    <w:rsid w:val="000C47F4"/>
    <w:rsid w:val="0012552A"/>
    <w:rsid w:val="00126F1F"/>
    <w:rsid w:val="00151A47"/>
    <w:rsid w:val="0017544C"/>
    <w:rsid w:val="001E1E67"/>
    <w:rsid w:val="002037DD"/>
    <w:rsid w:val="0020721C"/>
    <w:rsid w:val="00207F22"/>
    <w:rsid w:val="00222FA3"/>
    <w:rsid w:val="00224D5B"/>
    <w:rsid w:val="00242072"/>
    <w:rsid w:val="00245D97"/>
    <w:rsid w:val="0025203E"/>
    <w:rsid w:val="00293EE8"/>
    <w:rsid w:val="00296256"/>
    <w:rsid w:val="0029702F"/>
    <w:rsid w:val="002B1EB9"/>
    <w:rsid w:val="0030109C"/>
    <w:rsid w:val="00335147"/>
    <w:rsid w:val="003570A8"/>
    <w:rsid w:val="003A40B3"/>
    <w:rsid w:val="003C1505"/>
    <w:rsid w:val="003C59E6"/>
    <w:rsid w:val="003C6D6F"/>
    <w:rsid w:val="003D66F9"/>
    <w:rsid w:val="003F2014"/>
    <w:rsid w:val="00412FA6"/>
    <w:rsid w:val="00436DB2"/>
    <w:rsid w:val="0044342E"/>
    <w:rsid w:val="004629EA"/>
    <w:rsid w:val="0047108A"/>
    <w:rsid w:val="004D2376"/>
    <w:rsid w:val="004E6C17"/>
    <w:rsid w:val="004F60AB"/>
    <w:rsid w:val="004F6BA9"/>
    <w:rsid w:val="00515485"/>
    <w:rsid w:val="00523C50"/>
    <w:rsid w:val="00535A55"/>
    <w:rsid w:val="00541CFE"/>
    <w:rsid w:val="00554C1B"/>
    <w:rsid w:val="00576F36"/>
    <w:rsid w:val="0059260B"/>
    <w:rsid w:val="005951DC"/>
    <w:rsid w:val="005C5F1C"/>
    <w:rsid w:val="005C600B"/>
    <w:rsid w:val="00603F78"/>
    <w:rsid w:val="00604335"/>
    <w:rsid w:val="0061214B"/>
    <w:rsid w:val="00615506"/>
    <w:rsid w:val="00657F6F"/>
    <w:rsid w:val="0068150C"/>
    <w:rsid w:val="006930C7"/>
    <w:rsid w:val="006A6567"/>
    <w:rsid w:val="006C49B6"/>
    <w:rsid w:val="006E3EE6"/>
    <w:rsid w:val="007053A0"/>
    <w:rsid w:val="00713EB6"/>
    <w:rsid w:val="00751F00"/>
    <w:rsid w:val="00762948"/>
    <w:rsid w:val="00780FE8"/>
    <w:rsid w:val="007961D6"/>
    <w:rsid w:val="007B186C"/>
    <w:rsid w:val="007E7275"/>
    <w:rsid w:val="007F3904"/>
    <w:rsid w:val="007F52C0"/>
    <w:rsid w:val="00820F22"/>
    <w:rsid w:val="00822C80"/>
    <w:rsid w:val="00833EA6"/>
    <w:rsid w:val="00851A4E"/>
    <w:rsid w:val="0086445A"/>
    <w:rsid w:val="008812BC"/>
    <w:rsid w:val="00881F26"/>
    <w:rsid w:val="00886FCC"/>
    <w:rsid w:val="008A0AA6"/>
    <w:rsid w:val="008A68FB"/>
    <w:rsid w:val="008D56DB"/>
    <w:rsid w:val="00911BD6"/>
    <w:rsid w:val="00927E5A"/>
    <w:rsid w:val="0093065B"/>
    <w:rsid w:val="0095071A"/>
    <w:rsid w:val="00974F49"/>
    <w:rsid w:val="00980890"/>
    <w:rsid w:val="009A28D6"/>
    <w:rsid w:val="009D2392"/>
    <w:rsid w:val="009D6A98"/>
    <w:rsid w:val="009E111B"/>
    <w:rsid w:val="009F0792"/>
    <w:rsid w:val="009F7AA7"/>
    <w:rsid w:val="00A067FA"/>
    <w:rsid w:val="00A34900"/>
    <w:rsid w:val="00AC0A60"/>
    <w:rsid w:val="00B0588F"/>
    <w:rsid w:val="00B25D92"/>
    <w:rsid w:val="00B325C2"/>
    <w:rsid w:val="00B94304"/>
    <w:rsid w:val="00BE0340"/>
    <w:rsid w:val="00BE65D6"/>
    <w:rsid w:val="00C00698"/>
    <w:rsid w:val="00C46F76"/>
    <w:rsid w:val="00C5755E"/>
    <w:rsid w:val="00C81800"/>
    <w:rsid w:val="00CA09D5"/>
    <w:rsid w:val="00CA20FF"/>
    <w:rsid w:val="00CD6713"/>
    <w:rsid w:val="00CF35C8"/>
    <w:rsid w:val="00D01DDB"/>
    <w:rsid w:val="00D04876"/>
    <w:rsid w:val="00D16C5F"/>
    <w:rsid w:val="00D345D6"/>
    <w:rsid w:val="00D50BD0"/>
    <w:rsid w:val="00D86E0C"/>
    <w:rsid w:val="00DC0AE3"/>
    <w:rsid w:val="00DD0151"/>
    <w:rsid w:val="00E11881"/>
    <w:rsid w:val="00E16C53"/>
    <w:rsid w:val="00E218A3"/>
    <w:rsid w:val="00E2799C"/>
    <w:rsid w:val="00E42444"/>
    <w:rsid w:val="00E56ED4"/>
    <w:rsid w:val="00E75243"/>
    <w:rsid w:val="00E810C0"/>
    <w:rsid w:val="00EA381E"/>
    <w:rsid w:val="00EB7672"/>
    <w:rsid w:val="00EF43A5"/>
    <w:rsid w:val="00EF5582"/>
    <w:rsid w:val="00F36781"/>
    <w:rsid w:val="00F51D52"/>
    <w:rsid w:val="00F53C81"/>
    <w:rsid w:val="00F707B9"/>
    <w:rsid w:val="00F81D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8C0D3A47-6188-43A9-A205-74FFD9CD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C1B"/>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qFormat/>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pPr>
      <w:spacing w:line="240" w:lineRule="auto"/>
    </w:pPr>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paragraph" w:styleId="StandardWeb">
    <w:name w:val="Normal (Web)"/>
    <w:basedOn w:val="Standard"/>
    <w:uiPriority w:val="99"/>
    <w:semiHidden/>
    <w:unhideWhenUsed/>
    <w:rsid w:val="00E16C53"/>
    <w:pPr>
      <w:tabs>
        <w:tab w:val="clear" w:pos="425"/>
        <w:tab w:val="clear" w:pos="851"/>
        <w:tab w:val="clear" w:pos="1276"/>
        <w:tab w:val="clear" w:pos="5245"/>
        <w:tab w:val="clear" w:pos="9639"/>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extcontent">
    <w:name w:val="text_content"/>
    <w:basedOn w:val="Absatz-Standardschriftart"/>
    <w:rsid w:val="00E16C53"/>
  </w:style>
  <w:style w:type="character" w:customStyle="1" w:styleId="number">
    <w:name w:val="number"/>
    <w:basedOn w:val="Absatz-Standardschriftart"/>
    <w:rsid w:val="00E16C53"/>
  </w:style>
  <w:style w:type="character" w:styleId="Kommentarzeichen">
    <w:name w:val="annotation reference"/>
    <w:basedOn w:val="Absatz-Standardschriftart"/>
    <w:uiPriority w:val="99"/>
    <w:semiHidden/>
    <w:unhideWhenUsed/>
    <w:rsid w:val="00412FA6"/>
    <w:rPr>
      <w:sz w:val="16"/>
      <w:szCs w:val="16"/>
    </w:rPr>
  </w:style>
  <w:style w:type="paragraph" w:styleId="Kommentartext">
    <w:name w:val="annotation text"/>
    <w:basedOn w:val="Standard"/>
    <w:link w:val="KommentartextZchn"/>
    <w:uiPriority w:val="99"/>
    <w:semiHidden/>
    <w:unhideWhenUsed/>
    <w:rsid w:val="00412F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2FA6"/>
    <w:rPr>
      <w:sz w:val="20"/>
      <w:szCs w:val="20"/>
    </w:rPr>
  </w:style>
  <w:style w:type="paragraph" w:styleId="Kommentarthema">
    <w:name w:val="annotation subject"/>
    <w:basedOn w:val="Kommentartext"/>
    <w:next w:val="Kommentartext"/>
    <w:link w:val="KommentarthemaZchn"/>
    <w:uiPriority w:val="99"/>
    <w:semiHidden/>
    <w:unhideWhenUsed/>
    <w:rsid w:val="00412FA6"/>
    <w:rPr>
      <w:b/>
      <w:bCs/>
    </w:rPr>
  </w:style>
  <w:style w:type="character" w:customStyle="1" w:styleId="KommentarthemaZchn">
    <w:name w:val="Kommentarthema Zchn"/>
    <w:basedOn w:val="KommentartextZchn"/>
    <w:link w:val="Kommentarthema"/>
    <w:uiPriority w:val="99"/>
    <w:semiHidden/>
    <w:rsid w:val="00412F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141666">
      <w:bodyDiv w:val="1"/>
      <w:marLeft w:val="0"/>
      <w:marRight w:val="0"/>
      <w:marTop w:val="0"/>
      <w:marBottom w:val="0"/>
      <w:divBdr>
        <w:top w:val="none" w:sz="0" w:space="0" w:color="auto"/>
        <w:left w:val="none" w:sz="0" w:space="0" w:color="auto"/>
        <w:bottom w:val="none" w:sz="0" w:space="0" w:color="auto"/>
        <w:right w:val="none" w:sz="0" w:space="0" w:color="auto"/>
      </w:divBdr>
      <w:divsChild>
        <w:div w:id="1753047892">
          <w:marLeft w:val="0"/>
          <w:marRight w:val="0"/>
          <w:marTop w:val="0"/>
          <w:marBottom w:val="0"/>
          <w:divBdr>
            <w:top w:val="none" w:sz="0" w:space="0" w:color="auto"/>
            <w:left w:val="none" w:sz="0" w:space="0" w:color="auto"/>
            <w:bottom w:val="none" w:sz="0" w:space="0" w:color="auto"/>
            <w:right w:val="none" w:sz="0" w:space="0" w:color="auto"/>
          </w:divBdr>
          <w:divsChild>
            <w:div w:id="734086739">
              <w:marLeft w:val="0"/>
              <w:marRight w:val="0"/>
              <w:marTop w:val="0"/>
              <w:marBottom w:val="0"/>
              <w:divBdr>
                <w:top w:val="none" w:sz="0" w:space="0" w:color="auto"/>
                <w:left w:val="none" w:sz="0" w:space="0" w:color="auto"/>
                <w:bottom w:val="none" w:sz="0" w:space="0" w:color="auto"/>
                <w:right w:val="none" w:sz="0" w:space="0" w:color="auto"/>
              </w:divBdr>
            </w:div>
            <w:div w:id="20862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3244">
      <w:bodyDiv w:val="1"/>
      <w:marLeft w:val="0"/>
      <w:marRight w:val="0"/>
      <w:marTop w:val="0"/>
      <w:marBottom w:val="0"/>
      <w:divBdr>
        <w:top w:val="none" w:sz="0" w:space="0" w:color="auto"/>
        <w:left w:val="none" w:sz="0" w:space="0" w:color="auto"/>
        <w:bottom w:val="none" w:sz="0" w:space="0" w:color="auto"/>
        <w:right w:val="none" w:sz="0" w:space="0" w:color="auto"/>
      </w:divBdr>
      <w:divsChild>
        <w:div w:id="1021931604">
          <w:marLeft w:val="0"/>
          <w:marRight w:val="0"/>
          <w:marTop w:val="0"/>
          <w:marBottom w:val="0"/>
          <w:divBdr>
            <w:top w:val="none" w:sz="0" w:space="0" w:color="auto"/>
            <w:left w:val="none" w:sz="0" w:space="0" w:color="auto"/>
            <w:bottom w:val="none" w:sz="0" w:space="0" w:color="auto"/>
            <w:right w:val="none" w:sz="0" w:space="0" w:color="auto"/>
          </w:divBdr>
          <w:divsChild>
            <w:div w:id="1148864604">
              <w:marLeft w:val="0"/>
              <w:marRight w:val="0"/>
              <w:marTop w:val="0"/>
              <w:marBottom w:val="0"/>
              <w:divBdr>
                <w:top w:val="none" w:sz="0" w:space="0" w:color="auto"/>
                <w:left w:val="none" w:sz="0" w:space="0" w:color="auto"/>
                <w:bottom w:val="none" w:sz="0" w:space="0" w:color="auto"/>
                <w:right w:val="none" w:sz="0" w:space="0" w:color="auto"/>
              </w:divBdr>
            </w:div>
            <w:div w:id="181863101">
              <w:marLeft w:val="0"/>
              <w:marRight w:val="0"/>
              <w:marTop w:val="0"/>
              <w:marBottom w:val="0"/>
              <w:divBdr>
                <w:top w:val="none" w:sz="0" w:space="0" w:color="auto"/>
                <w:left w:val="none" w:sz="0" w:space="0" w:color="auto"/>
                <w:bottom w:val="none" w:sz="0" w:space="0" w:color="auto"/>
                <w:right w:val="none" w:sz="0" w:space="0" w:color="auto"/>
              </w:divBdr>
            </w:div>
            <w:div w:id="6455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9E88720D51154A8C64952F8780B3E5" ma:contentTypeVersion="0" ma:contentTypeDescription="Ein neues Dokument erstellen." ma:contentTypeScope="" ma:versionID="7287a6a9b3a81f5cb32ad83aa54824f4">
  <xsd:schema xmlns:xsd="http://www.w3.org/2001/XMLSchema" xmlns:xs="http://www.w3.org/2001/XMLSchema" xmlns:p="http://schemas.microsoft.com/office/2006/metadata/properties" xmlns:ns2="d7ab921c-b2e6-41ea-85e8-0edfcdfc0b08" targetNamespace="http://schemas.microsoft.com/office/2006/metadata/properties" ma:root="true" ma:fieldsID="fda14f90e11e795083585c51c9d04abd" ns2:_="">
    <xsd:import namespace="d7ab921c-b2e6-41ea-85e8-0edfcdfc0b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921c-b2e6-41ea-85e8-0edfcdfc0b0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7ab921c-b2e6-41ea-85e8-0edfcdfc0b08">FTCMCA6FJ2NC-58-28</_dlc_DocId>
    <_dlc_DocIdUrl xmlns="d7ab921c-b2e6-41ea-85e8-0edfcdfc0b08">
      <Url>https://extern.create.abraxas.ch/projekte/APZ2015/rollout/_layouts/15/DocIdRedir.aspx?ID=FTCMCA6FJ2NC-58-28</Url>
      <Description>FTCMCA6FJ2NC-58-28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1AF56-0654-41E5-ADDA-41D60EBF7D4B}">
  <ds:schemaRefs>
    <ds:schemaRef ds:uri="http://schemas.microsoft.com/sharepoint/v3/contenttype/forms"/>
  </ds:schemaRefs>
</ds:datastoreItem>
</file>

<file path=customXml/itemProps2.xml><?xml version="1.0" encoding="utf-8"?>
<ds:datastoreItem xmlns:ds="http://schemas.openxmlformats.org/officeDocument/2006/customXml" ds:itemID="{5993CFBA-46BF-4877-B7D4-E04712F3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921c-b2e6-41ea-85e8-0edfcdfc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3FB80-AA75-4B42-B8B5-E8D87947422B}">
  <ds:schemaRefs>
    <ds:schemaRef ds:uri="http://schemas.microsoft.com/sharepoint/events"/>
  </ds:schemaRefs>
</ds:datastoreItem>
</file>

<file path=customXml/itemProps4.xml><?xml version="1.0" encoding="utf-8"?>
<ds:datastoreItem xmlns:ds="http://schemas.openxmlformats.org/officeDocument/2006/customXml" ds:itemID="{7E0647DD-45D5-480C-874D-B5DF41DC9BD2}">
  <ds:schemaRefs>
    <ds:schemaRef ds:uri="http://purl.org/dc/terms/"/>
    <ds:schemaRef ds:uri="http://schemas.openxmlformats.org/package/2006/metadata/core-properties"/>
    <ds:schemaRef ds:uri="http://schemas.microsoft.com/office/2006/documentManagement/types"/>
    <ds:schemaRef ds:uri="http://purl.org/dc/dcmitype/"/>
    <ds:schemaRef ds:uri="d7ab921c-b2e6-41ea-85e8-0edfcdfc0b0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C9B0BFE-6DAD-473D-93A5-D3056DEB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4949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Gemperle Mario DI-AfGE-GAS</dc:creator>
  <cp:keywords/>
  <dc:description/>
  <cp:lastModifiedBy>Jeker Martin DI-AfGE-GAS</cp:lastModifiedBy>
  <cp:revision>17</cp:revision>
  <cp:lastPrinted>2019-01-09T14:01:00Z</cp:lastPrinted>
  <dcterms:created xsi:type="dcterms:W3CDTF">2019-02-27T13:20:00Z</dcterms:created>
  <dcterms:modified xsi:type="dcterms:W3CDTF">2019-11-22T13:56:00Z</dcterms:modified>
</cp:coreProperties>
</file>