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07CA5" w14:textId="77777777" w:rsidR="007456B7" w:rsidRDefault="007456B7" w:rsidP="007456B7">
      <w:pPr>
        <w:pStyle w:val="Kopfzeile"/>
      </w:pPr>
    </w:p>
    <w:tbl>
      <w:tblPr>
        <w:tblW w:w="7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9"/>
      </w:tblGrid>
      <w:tr w:rsidR="007456B7" w14:paraId="58933713" w14:textId="77777777" w:rsidTr="000758A4">
        <w:tc>
          <w:tcPr>
            <w:tcW w:w="7839" w:type="dxa"/>
            <w:tcBorders>
              <w:bottom w:val="single" w:sz="4" w:space="0" w:color="auto"/>
            </w:tcBorders>
            <w:tcMar>
              <w:top w:w="113" w:type="dxa"/>
            </w:tcMar>
          </w:tcPr>
          <w:p w14:paraId="474A8F85" w14:textId="77777777" w:rsidR="007456B7" w:rsidRPr="007456B7" w:rsidRDefault="007456B7" w:rsidP="000758A4">
            <w:pPr>
              <w:pStyle w:val="berschrift1"/>
              <w:numPr>
                <w:ilvl w:val="0"/>
                <w:numId w:val="0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highlight w:val="yellow"/>
              </w:rPr>
              <w:t xml:space="preserve">Politische </w:t>
            </w:r>
            <w:r w:rsidRPr="001C510E">
              <w:rPr>
                <w:b w:val="0"/>
                <w:sz w:val="24"/>
                <w:szCs w:val="24"/>
                <w:highlight w:val="yellow"/>
              </w:rPr>
              <w:t>Gemeinde</w:t>
            </w:r>
            <w:r w:rsidR="001C510E" w:rsidRPr="001C510E">
              <w:rPr>
                <w:b w:val="0"/>
                <w:sz w:val="24"/>
                <w:szCs w:val="24"/>
                <w:highlight w:val="yellow"/>
              </w:rPr>
              <w:t xml:space="preserve"> X, Gemeinderat</w:t>
            </w:r>
          </w:p>
          <w:p w14:paraId="1270C965" w14:textId="77777777" w:rsidR="007456B7" w:rsidRDefault="007456B7" w:rsidP="000758A4">
            <w:pPr>
              <w:pStyle w:val="berschrift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14:paraId="0BEAE6A2" w14:textId="77777777" w:rsidR="007456B7" w:rsidRDefault="007456B7" w:rsidP="000758A4">
            <w:pPr>
              <w:pStyle w:val="berschrift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14:paraId="4D9E9E81" w14:textId="77777777" w:rsidR="007456B7" w:rsidRDefault="007456B7" w:rsidP="000758A4">
            <w:pPr>
              <w:pStyle w:val="berschrift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14:paraId="5933A9E8" w14:textId="77777777" w:rsidR="007456B7" w:rsidRDefault="007456B7" w:rsidP="000758A4">
            <w:pPr>
              <w:pStyle w:val="berschrift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14:paraId="2E0A0A77" w14:textId="77777777" w:rsidR="007456B7" w:rsidRDefault="007456B7" w:rsidP="000758A4">
            <w:pPr>
              <w:pStyle w:val="berschrift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14:paraId="52404142" w14:textId="77777777" w:rsidR="007456B7" w:rsidRDefault="007456B7" w:rsidP="000758A4">
            <w:pPr>
              <w:pStyle w:val="berschrift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14:paraId="06146C81" w14:textId="77777777" w:rsidR="007456B7" w:rsidRPr="007456B7" w:rsidRDefault="007456B7" w:rsidP="00CE6765">
            <w:pPr>
              <w:pStyle w:val="Default"/>
              <w:rPr>
                <w:b/>
              </w:rPr>
            </w:pPr>
            <w:r w:rsidRPr="007456B7">
              <w:rPr>
                <w:b/>
              </w:rPr>
              <w:t xml:space="preserve">Allgemeinverfügung: </w:t>
            </w:r>
            <w:r w:rsidR="001434AF">
              <w:rPr>
                <w:b/>
              </w:rPr>
              <w:t>Aufhebung K</w:t>
            </w:r>
            <w:r w:rsidR="00E95BD6">
              <w:rPr>
                <w:b/>
              </w:rPr>
              <w:t>ommunales</w:t>
            </w:r>
            <w:r w:rsidRPr="007456B7">
              <w:rPr>
                <w:b/>
              </w:rPr>
              <w:t xml:space="preserve"> Feuer</w:t>
            </w:r>
            <w:r w:rsidR="00E95BD6">
              <w:rPr>
                <w:b/>
              </w:rPr>
              <w:t>verbot und Feuer</w:t>
            </w:r>
            <w:r w:rsidRPr="007456B7">
              <w:rPr>
                <w:b/>
              </w:rPr>
              <w:t>werk</w:t>
            </w:r>
            <w:r w:rsidR="00E95BD6">
              <w:rPr>
                <w:b/>
              </w:rPr>
              <w:t>sverbot</w:t>
            </w:r>
            <w:r w:rsidRPr="007456B7">
              <w:rPr>
                <w:b/>
              </w:rPr>
              <w:t xml:space="preserve"> </w:t>
            </w:r>
          </w:p>
        </w:tc>
      </w:tr>
    </w:tbl>
    <w:p w14:paraId="22B4C62C" w14:textId="77777777" w:rsidR="003602B6" w:rsidRDefault="003602B6" w:rsidP="003602B6">
      <w:pPr>
        <w:pStyle w:val="Listenabsatz"/>
        <w:widowControl w:val="0"/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84"/>
        </w:tabs>
        <w:spacing w:line="260" w:lineRule="exact"/>
        <w:ind w:left="0"/>
        <w:rPr>
          <w:rFonts w:eastAsia="Times New Roman" w:cs="Times New Roman"/>
          <w:bCs/>
          <w:color w:val="000000"/>
        </w:rPr>
      </w:pPr>
      <w:bookmarkStart w:id="0" w:name="BANummerEntfernen"/>
      <w:bookmarkStart w:id="1" w:name="BABetreff"/>
      <w:bookmarkEnd w:id="0"/>
      <w:bookmarkEnd w:id="1"/>
    </w:p>
    <w:p w14:paraId="0C23398A" w14:textId="77777777" w:rsidR="003602B6" w:rsidRDefault="003602B6" w:rsidP="003602B6">
      <w:pPr>
        <w:pStyle w:val="Listenabsatz"/>
        <w:widowControl w:val="0"/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84"/>
        </w:tabs>
        <w:spacing w:line="260" w:lineRule="exact"/>
        <w:ind w:left="0"/>
        <w:rPr>
          <w:rFonts w:eastAsia="Times New Roman" w:cs="Times New Roman"/>
          <w:bCs/>
          <w:color w:val="000000"/>
        </w:rPr>
      </w:pPr>
    </w:p>
    <w:p w14:paraId="3E631569" w14:textId="2CC21126" w:rsidR="002C2DD0" w:rsidRDefault="003602B6" w:rsidP="001C3F6E">
      <w:pPr>
        <w:pStyle w:val="Listenabsatz"/>
        <w:widowControl w:val="0"/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84"/>
        </w:tabs>
        <w:spacing w:line="240" w:lineRule="auto"/>
        <w:ind w:left="0"/>
        <w:rPr>
          <w:color w:val="000000"/>
        </w:rPr>
      </w:pPr>
      <w:r>
        <w:rPr>
          <w:rFonts w:eastAsia="Times New Roman" w:cs="Times New Roman"/>
          <w:bCs/>
          <w:color w:val="000000"/>
        </w:rPr>
        <w:t xml:space="preserve">I. </w:t>
      </w:r>
      <w:r>
        <w:rPr>
          <w:color w:val="000000"/>
        </w:rPr>
        <w:t>In</w:t>
      </w:r>
      <w:r w:rsidR="007456B7" w:rsidRPr="00A446CA">
        <w:rPr>
          <w:color w:val="000000"/>
        </w:rPr>
        <w:t xml:space="preserve"> </w:t>
      </w:r>
      <w:r>
        <w:rPr>
          <w:color w:val="000000"/>
        </w:rPr>
        <w:t xml:space="preserve">der </w:t>
      </w:r>
      <w:r w:rsidR="001C3F6E">
        <w:rPr>
          <w:color w:val="000000"/>
          <w:highlight w:val="yellow"/>
        </w:rPr>
        <w:t>P</w:t>
      </w:r>
      <w:r w:rsidRPr="003602B6">
        <w:rPr>
          <w:color w:val="000000"/>
          <w:highlight w:val="yellow"/>
        </w:rPr>
        <w:t>olitischen Gemeinde X</w:t>
      </w:r>
      <w:r>
        <w:rPr>
          <w:color w:val="000000"/>
        </w:rPr>
        <w:t xml:space="preserve"> </w:t>
      </w:r>
      <w:r w:rsidR="007456B7" w:rsidRPr="00A446CA">
        <w:rPr>
          <w:color w:val="000000"/>
        </w:rPr>
        <w:t>herrscht</w:t>
      </w:r>
      <w:r w:rsidR="00F75151">
        <w:rPr>
          <w:color w:val="000000"/>
        </w:rPr>
        <w:t>e</w:t>
      </w:r>
      <w:r w:rsidR="007456B7" w:rsidRPr="00A446CA">
        <w:rPr>
          <w:color w:val="000000"/>
        </w:rPr>
        <w:t xml:space="preserve"> – wie in </w:t>
      </w:r>
      <w:r>
        <w:rPr>
          <w:color w:val="000000"/>
        </w:rPr>
        <w:t xml:space="preserve">anderen Gemeinden und im ganzen Kantonsgebiet </w:t>
      </w:r>
      <w:r w:rsidR="007456B7" w:rsidRPr="00A446CA">
        <w:rPr>
          <w:color w:val="000000"/>
        </w:rPr>
        <w:t>auch – seit längerer Zeit extreme Trockenheit</w:t>
      </w:r>
      <w:r w:rsidR="007456B7">
        <w:rPr>
          <w:color w:val="000000"/>
        </w:rPr>
        <w:t xml:space="preserve"> und </w:t>
      </w:r>
      <w:r w:rsidR="007456B7" w:rsidRPr="00A446CA">
        <w:rPr>
          <w:color w:val="000000"/>
        </w:rPr>
        <w:t>eine erhebliche Wald</w:t>
      </w:r>
      <w:r w:rsidR="00B0668A">
        <w:rPr>
          <w:color w:val="000000"/>
        </w:rPr>
        <w:t>- und Flur</w:t>
      </w:r>
      <w:r w:rsidR="007456B7" w:rsidRPr="00A446CA">
        <w:rPr>
          <w:color w:val="000000"/>
        </w:rPr>
        <w:t xml:space="preserve">brandgefahr. Aufgrund des hohen Gefahrenpotentials </w:t>
      </w:r>
      <w:r w:rsidR="00F75151">
        <w:rPr>
          <w:color w:val="000000"/>
        </w:rPr>
        <w:t>waren</w:t>
      </w:r>
      <w:r w:rsidR="007456B7" w:rsidRPr="00A446CA">
        <w:rPr>
          <w:color w:val="000000"/>
        </w:rPr>
        <w:t xml:space="preserve"> zur Gewährleistung der öffentlichen Sicherheit </w:t>
      </w:r>
      <w:r w:rsidR="007456B7">
        <w:rPr>
          <w:color w:val="000000"/>
        </w:rPr>
        <w:t xml:space="preserve">daher </w:t>
      </w:r>
      <w:r w:rsidR="007456B7" w:rsidRPr="00A446CA">
        <w:rPr>
          <w:color w:val="000000"/>
        </w:rPr>
        <w:t xml:space="preserve">Massnahmen </w:t>
      </w:r>
      <w:r w:rsidR="007456B7">
        <w:rPr>
          <w:color w:val="000000"/>
        </w:rPr>
        <w:t>zu ergreifen</w:t>
      </w:r>
      <w:r w:rsidR="007456B7" w:rsidRPr="00A446CA">
        <w:rPr>
          <w:color w:val="000000"/>
        </w:rPr>
        <w:t>.</w:t>
      </w:r>
      <w:r w:rsidR="00F75151">
        <w:rPr>
          <w:color w:val="000000"/>
        </w:rPr>
        <w:t xml:space="preserve"> Der </w:t>
      </w:r>
      <w:r w:rsidR="00F75151" w:rsidRPr="00F75151">
        <w:rPr>
          <w:color w:val="000000"/>
          <w:highlight w:val="yellow"/>
        </w:rPr>
        <w:t>Gemeinderat der Politischen Gemeinde X</w:t>
      </w:r>
      <w:r w:rsidR="00F75151">
        <w:rPr>
          <w:color w:val="000000"/>
        </w:rPr>
        <w:t xml:space="preserve"> verfügte am </w:t>
      </w:r>
      <w:r w:rsidR="00F75151" w:rsidRPr="001C3F6E">
        <w:rPr>
          <w:color w:val="000000"/>
          <w:highlight w:val="yellow"/>
        </w:rPr>
        <w:t>xy. Juli 2018</w:t>
      </w:r>
      <w:r w:rsidR="00F75151">
        <w:rPr>
          <w:color w:val="000000"/>
        </w:rPr>
        <w:t xml:space="preserve"> </w:t>
      </w:r>
      <w:r w:rsidR="001C3F6E">
        <w:rPr>
          <w:color w:val="000000"/>
        </w:rPr>
        <w:t xml:space="preserve">gestützt auf </w:t>
      </w:r>
      <w:r w:rsidR="001C3F6E" w:rsidRPr="006032B3">
        <w:rPr>
          <w:color w:val="000000"/>
        </w:rPr>
        <w:t>Art.</w:t>
      </w:r>
      <w:r w:rsidR="001C3F6E">
        <w:rPr>
          <w:color w:val="000000"/>
        </w:rPr>
        <w:t> </w:t>
      </w:r>
      <w:r w:rsidR="0029798A">
        <w:rPr>
          <w:color w:val="000000"/>
        </w:rPr>
        <w:t>4</w:t>
      </w:r>
      <w:r w:rsidR="001C3F6E" w:rsidRPr="006032B3">
        <w:rPr>
          <w:color w:val="000000"/>
        </w:rPr>
        <w:t xml:space="preserve">7 </w:t>
      </w:r>
      <w:r w:rsidR="001C3F6E" w:rsidRPr="00946235">
        <w:rPr>
          <w:color w:val="000000"/>
        </w:rPr>
        <w:t xml:space="preserve">Abs. 1 des Gesetzes über den Feuerschutz (sGS 871.1; abgekürzt FSG) </w:t>
      </w:r>
      <w:r w:rsidR="00F75151">
        <w:rPr>
          <w:color w:val="000000"/>
        </w:rPr>
        <w:t xml:space="preserve">ein auf dem ganzen Gemeindegebiet geltendes umfassendes Verbot des </w:t>
      </w:r>
      <w:r w:rsidR="001C3F6E" w:rsidRPr="00A446CA">
        <w:rPr>
          <w:color w:val="000000"/>
        </w:rPr>
        <w:t>Ent</w:t>
      </w:r>
      <w:r w:rsidR="001C3F6E">
        <w:rPr>
          <w:color w:val="000000"/>
        </w:rPr>
        <w:t>zünd</w:t>
      </w:r>
      <w:r w:rsidR="001C3F6E" w:rsidRPr="00A446CA">
        <w:rPr>
          <w:color w:val="000000"/>
        </w:rPr>
        <w:t>e</w:t>
      </w:r>
      <w:r w:rsidR="001C3F6E">
        <w:rPr>
          <w:color w:val="000000"/>
        </w:rPr>
        <w:t>ns von Feuer, des Abbrennens von Feuerwerk sowie des Wegwerfens von brennenden Streichhölzern und Raucherwaren ab sofort bis auf Widerruf.</w:t>
      </w:r>
    </w:p>
    <w:p w14:paraId="7A393269" w14:textId="77777777" w:rsidR="002C2DD0" w:rsidRDefault="002C2DD0" w:rsidP="001C3F6E">
      <w:pPr>
        <w:pStyle w:val="Listenabsatz"/>
        <w:widowControl w:val="0"/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84"/>
        </w:tabs>
        <w:spacing w:line="240" w:lineRule="auto"/>
        <w:ind w:left="0"/>
        <w:rPr>
          <w:color w:val="000000"/>
        </w:rPr>
      </w:pPr>
    </w:p>
    <w:p w14:paraId="7F4FDB1B" w14:textId="77777777" w:rsidR="007456B7" w:rsidRDefault="001C3F6E" w:rsidP="001C3F6E">
      <w:pPr>
        <w:pStyle w:val="Listenabsatz"/>
        <w:widowControl w:val="0"/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84"/>
        </w:tabs>
        <w:spacing w:line="240" w:lineRule="auto"/>
        <w:ind w:left="0"/>
        <w:rPr>
          <w:color w:val="000000"/>
        </w:rPr>
      </w:pPr>
      <w:r>
        <w:rPr>
          <w:color w:val="000000"/>
        </w:rPr>
        <w:t xml:space="preserve">Am </w:t>
      </w:r>
      <w:r w:rsidR="002C2DD0" w:rsidRPr="0055498F">
        <w:rPr>
          <w:color w:val="000000"/>
          <w:highlight w:val="yellow"/>
        </w:rPr>
        <w:t>24</w:t>
      </w:r>
      <w:r w:rsidRPr="0055498F">
        <w:rPr>
          <w:color w:val="000000"/>
          <w:highlight w:val="yellow"/>
        </w:rPr>
        <w:t>. Juli 2018</w:t>
      </w:r>
      <w:r>
        <w:rPr>
          <w:color w:val="000000"/>
        </w:rPr>
        <w:t xml:space="preserve"> verfügte das </w:t>
      </w:r>
      <w:r w:rsidRPr="006032B3">
        <w:rPr>
          <w:color w:val="000000"/>
        </w:rPr>
        <w:t>Sicherheits- und Justizdepartement</w:t>
      </w:r>
      <w:r>
        <w:rPr>
          <w:color w:val="000000"/>
        </w:rPr>
        <w:t xml:space="preserve"> </w:t>
      </w:r>
      <w:r w:rsidR="002C2DD0">
        <w:rPr>
          <w:color w:val="000000"/>
        </w:rPr>
        <w:t>kantonsweit ein</w:t>
      </w:r>
      <w:r>
        <w:rPr>
          <w:color w:val="000000"/>
        </w:rPr>
        <w:t xml:space="preserve"> </w:t>
      </w:r>
      <w:r w:rsidR="002C2DD0" w:rsidRPr="00946235">
        <w:rPr>
          <w:color w:val="000000"/>
        </w:rPr>
        <w:t>im</w:t>
      </w:r>
      <w:r w:rsidR="002C2DD0">
        <w:rPr>
          <w:color w:val="000000"/>
        </w:rPr>
        <w:t xml:space="preserve"> Wald und in Waldesnähe</w:t>
      </w:r>
      <w:r w:rsidR="002C2DD0" w:rsidRPr="006032B3">
        <w:rPr>
          <w:color w:val="000000"/>
        </w:rPr>
        <w:t xml:space="preserve"> geltendes Verbot des </w:t>
      </w:r>
      <w:r w:rsidR="002C2DD0" w:rsidRPr="00A446CA">
        <w:rPr>
          <w:color w:val="000000"/>
        </w:rPr>
        <w:t>Ent</w:t>
      </w:r>
      <w:r w:rsidR="002C2DD0">
        <w:rPr>
          <w:color w:val="000000"/>
        </w:rPr>
        <w:t>zünd</w:t>
      </w:r>
      <w:r w:rsidR="002C2DD0" w:rsidRPr="00A446CA">
        <w:rPr>
          <w:color w:val="000000"/>
        </w:rPr>
        <w:t>e</w:t>
      </w:r>
      <w:r w:rsidR="002C2DD0">
        <w:rPr>
          <w:color w:val="000000"/>
        </w:rPr>
        <w:t xml:space="preserve">ns von Feuer, des Abbrennens von Feuerwerk sowie des Wegwerfens von brennenden Streichhölzern und Raucherwaren. Auch wurde das Steigenlassen von Himmelslaternen mit besagter Verfügung im ganzen Kantonsgebiet verboten. Am </w:t>
      </w:r>
      <w:r w:rsidR="002C2DD0" w:rsidRPr="0055498F">
        <w:rPr>
          <w:color w:val="000000"/>
          <w:highlight w:val="yellow"/>
        </w:rPr>
        <w:t>30. Juli 2018</w:t>
      </w:r>
      <w:r w:rsidR="002C2DD0">
        <w:rPr>
          <w:color w:val="000000"/>
        </w:rPr>
        <w:t xml:space="preserve"> verfügte das </w:t>
      </w:r>
      <w:r w:rsidR="002C2DD0" w:rsidRPr="006032B3">
        <w:rPr>
          <w:color w:val="000000"/>
        </w:rPr>
        <w:t>Sicherheits- und Justizdepartement</w:t>
      </w:r>
      <w:r w:rsidR="002C2DD0">
        <w:rPr>
          <w:color w:val="000000"/>
        </w:rPr>
        <w:t xml:space="preserve"> schliesslich ein </w:t>
      </w:r>
      <w:r>
        <w:rPr>
          <w:color w:val="000000"/>
        </w:rPr>
        <w:t xml:space="preserve">umfassend geltendes Feuer- und Feuerwerksverbot </w:t>
      </w:r>
      <w:r w:rsidR="00E91319">
        <w:rPr>
          <w:color w:val="000000"/>
        </w:rPr>
        <w:t>auf dem ganzen Kantonsgebiet.</w:t>
      </w:r>
    </w:p>
    <w:p w14:paraId="3595897B" w14:textId="77777777" w:rsidR="007456B7" w:rsidRDefault="007456B7" w:rsidP="00687979">
      <w:pPr>
        <w:pStyle w:val="Listenabsatz"/>
        <w:widowControl w:val="0"/>
        <w:tabs>
          <w:tab w:val="left" w:pos="284"/>
        </w:tabs>
        <w:spacing w:line="240" w:lineRule="auto"/>
        <w:ind w:left="0"/>
        <w:rPr>
          <w:color w:val="000000"/>
        </w:rPr>
      </w:pPr>
    </w:p>
    <w:p w14:paraId="44C7F219" w14:textId="77777777" w:rsidR="001C3F6E" w:rsidRDefault="003602B6" w:rsidP="00687979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rPr>
          <w:rFonts w:asciiTheme="majorHAnsi" w:eastAsia="Times New Roman" w:hAnsiTheme="majorHAnsi" w:cstheme="majorHAnsi"/>
          <w:lang w:val="de-DE" w:eastAsia="de-CH"/>
        </w:rPr>
      </w:pPr>
      <w:r>
        <w:rPr>
          <w:rFonts w:asciiTheme="majorHAnsi" w:eastAsia="Times New Roman" w:hAnsiTheme="majorHAnsi" w:cstheme="majorHAnsi"/>
          <w:lang w:val="de-DE" w:eastAsia="de-CH"/>
        </w:rPr>
        <w:t xml:space="preserve">II. </w:t>
      </w:r>
      <w:r w:rsidR="001C3F6E">
        <w:rPr>
          <w:rFonts w:asciiTheme="majorHAnsi" w:eastAsia="Times New Roman" w:hAnsiTheme="majorHAnsi" w:cstheme="majorHAnsi"/>
          <w:lang w:val="de-DE" w:eastAsia="de-CH"/>
        </w:rPr>
        <w:t xml:space="preserve">In den letzten Wochen sind im Kantonsgebiet teilweise Niederschläge gefallen, </w:t>
      </w:r>
      <w:r w:rsidR="001C3F6E" w:rsidRPr="00A44393">
        <w:rPr>
          <w:color w:val="000000"/>
        </w:rPr>
        <w:t xml:space="preserve">welche die Gefahr von Feuerausbrüchen </w:t>
      </w:r>
      <w:r w:rsidR="001C3F6E">
        <w:rPr>
          <w:color w:val="000000"/>
        </w:rPr>
        <w:t xml:space="preserve">etwas </w:t>
      </w:r>
      <w:r w:rsidR="001C3F6E" w:rsidRPr="00A44393">
        <w:rPr>
          <w:color w:val="000000"/>
        </w:rPr>
        <w:t>entschärft haben</w:t>
      </w:r>
      <w:r w:rsidR="001C3F6E">
        <w:rPr>
          <w:color w:val="000000"/>
        </w:rPr>
        <w:t xml:space="preserve">, weshalb das </w:t>
      </w:r>
      <w:r w:rsidR="001C3F6E" w:rsidRPr="006032B3">
        <w:rPr>
          <w:color w:val="000000"/>
        </w:rPr>
        <w:t>Sicherheits- und Justizdepartement</w:t>
      </w:r>
      <w:r w:rsidR="001C3F6E" w:rsidRPr="00A44393">
        <w:rPr>
          <w:color w:val="000000"/>
        </w:rPr>
        <w:t xml:space="preserve"> </w:t>
      </w:r>
      <w:r w:rsidR="00E91319">
        <w:rPr>
          <w:color w:val="000000"/>
        </w:rPr>
        <w:t xml:space="preserve">am </w:t>
      </w:r>
      <w:r w:rsidR="00E91319" w:rsidRPr="0055498F">
        <w:rPr>
          <w:color w:val="000000"/>
          <w:highlight w:val="yellow"/>
        </w:rPr>
        <w:t>23. </w:t>
      </w:r>
      <w:r w:rsidR="001C3F6E" w:rsidRPr="0055498F">
        <w:rPr>
          <w:color w:val="000000"/>
          <w:highlight w:val="yellow"/>
        </w:rPr>
        <w:t>August 2018</w:t>
      </w:r>
      <w:r w:rsidR="001C3F6E">
        <w:rPr>
          <w:color w:val="000000"/>
        </w:rPr>
        <w:t xml:space="preserve"> das umfassende kantonale Feuer- und Feuerwerksverbot aufhob. D</w:t>
      </w:r>
      <w:r w:rsidR="00E91319">
        <w:rPr>
          <w:color w:val="000000"/>
        </w:rPr>
        <w:t>ie</w:t>
      </w:r>
      <w:r w:rsidR="001C3F6E">
        <w:rPr>
          <w:rFonts w:asciiTheme="majorHAnsi" w:eastAsia="Times New Roman" w:hAnsiTheme="majorHAnsi" w:cstheme="majorHAnsi"/>
          <w:lang w:val="de-DE" w:eastAsia="de-CH"/>
        </w:rPr>
        <w:t xml:space="preserve"> auf dem Gebiet der </w:t>
      </w:r>
      <w:r w:rsidR="001C3F6E">
        <w:rPr>
          <w:color w:val="000000"/>
          <w:highlight w:val="yellow"/>
        </w:rPr>
        <w:t>P</w:t>
      </w:r>
      <w:r w:rsidR="001C3F6E" w:rsidRPr="003602B6">
        <w:rPr>
          <w:color w:val="000000"/>
          <w:highlight w:val="yellow"/>
        </w:rPr>
        <w:t>olitischen Gemeinde X</w:t>
      </w:r>
      <w:r w:rsidR="00E91319">
        <w:rPr>
          <w:color w:val="000000"/>
        </w:rPr>
        <w:t xml:space="preserve"> in den letzten Wochen gefallenen Niederschlägen führen dazu, dass auch auf kommunaler Ebene das umfassende Verbot des </w:t>
      </w:r>
      <w:r w:rsidR="00E91319" w:rsidRPr="00A446CA">
        <w:rPr>
          <w:color w:val="000000"/>
        </w:rPr>
        <w:t>Ent</w:t>
      </w:r>
      <w:r w:rsidR="00E91319">
        <w:rPr>
          <w:color w:val="000000"/>
        </w:rPr>
        <w:t>zünd</w:t>
      </w:r>
      <w:r w:rsidR="00E91319" w:rsidRPr="00A446CA">
        <w:rPr>
          <w:color w:val="000000"/>
        </w:rPr>
        <w:t>e</w:t>
      </w:r>
      <w:r w:rsidR="00E91319">
        <w:rPr>
          <w:color w:val="000000"/>
        </w:rPr>
        <w:t xml:space="preserve">ns von Feuer, des Abbrennens von Feuerwerk sowie des Wegwerfens von brennenden Streichhölzern und Raucherwaren aufgehoben werden kann. Weiterhin gültig bleibt das kantonsweite Feuer- und Feuerwerkverbot im Wald und in Waldesnähe des </w:t>
      </w:r>
      <w:r w:rsidR="00E91319" w:rsidRPr="006032B3">
        <w:rPr>
          <w:color w:val="000000"/>
        </w:rPr>
        <w:t>Sicherheits- und Justizdepartement</w:t>
      </w:r>
      <w:r w:rsidR="00E91319">
        <w:rPr>
          <w:color w:val="000000"/>
        </w:rPr>
        <w:t xml:space="preserve"> vom </w:t>
      </w:r>
      <w:r w:rsidR="00E91319" w:rsidRPr="0055498F">
        <w:rPr>
          <w:color w:val="000000"/>
          <w:highlight w:val="yellow"/>
        </w:rPr>
        <w:t>24. Juli 2018</w:t>
      </w:r>
      <w:r w:rsidR="00E91319">
        <w:rPr>
          <w:color w:val="000000"/>
        </w:rPr>
        <w:t>.</w:t>
      </w:r>
    </w:p>
    <w:p w14:paraId="459F8EAF" w14:textId="77777777" w:rsidR="001C3F6E" w:rsidRDefault="001C3F6E" w:rsidP="00687979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rPr>
          <w:rFonts w:asciiTheme="majorHAnsi" w:eastAsia="Times New Roman" w:hAnsiTheme="majorHAnsi" w:cstheme="majorHAnsi"/>
          <w:lang w:val="de-DE" w:eastAsia="de-CH"/>
        </w:rPr>
      </w:pPr>
    </w:p>
    <w:p w14:paraId="1531B51B" w14:textId="4A3151F8" w:rsidR="002F520A" w:rsidRPr="008134F9" w:rsidRDefault="001C3F6E" w:rsidP="00D66DA4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rPr>
          <w:rFonts w:asciiTheme="minorHAnsi" w:eastAsia="Times New Roman" w:hAnsiTheme="minorHAnsi" w:cstheme="minorHAnsi"/>
          <w:lang w:val="de-DE" w:eastAsia="de-CH"/>
        </w:rPr>
      </w:pPr>
      <w:r w:rsidRPr="008134F9">
        <w:rPr>
          <w:rFonts w:asciiTheme="majorHAnsi" w:eastAsia="Times New Roman" w:hAnsiTheme="majorHAnsi" w:cstheme="majorHAnsi"/>
          <w:lang w:val="de-DE" w:eastAsia="de-CH"/>
        </w:rPr>
        <w:t xml:space="preserve">II. </w:t>
      </w:r>
      <w:r w:rsidR="00D66DA4" w:rsidRPr="008134F9">
        <w:rPr>
          <w:rFonts w:asciiTheme="majorHAnsi" w:eastAsia="Times New Roman" w:hAnsiTheme="majorHAnsi" w:cstheme="majorHAnsi"/>
          <w:lang w:val="de-DE" w:eastAsia="de-CH"/>
        </w:rPr>
        <w:t xml:space="preserve">Zuständig für die </w:t>
      </w:r>
      <w:r w:rsidR="00D66DA4" w:rsidRPr="008134F9">
        <w:t xml:space="preserve">Anordnung von vorübergehenden besonderen Feuerschutzvorschriften im Sinn von Art. </w:t>
      </w:r>
      <w:r w:rsidR="0029798A">
        <w:t>4</w:t>
      </w:r>
      <w:r w:rsidR="00D66DA4" w:rsidRPr="008134F9">
        <w:t>7 FSG und deren Aufhebung ist der Gemeinderat.</w:t>
      </w:r>
    </w:p>
    <w:p w14:paraId="2EFD8502" w14:textId="77777777" w:rsidR="007456B7" w:rsidRPr="008134F9" w:rsidRDefault="007456B7" w:rsidP="00687979">
      <w:pPr>
        <w:pStyle w:val="Textkrper2"/>
        <w:spacing w:after="0" w:line="240" w:lineRule="auto"/>
      </w:pPr>
    </w:p>
    <w:p w14:paraId="4EE45A0B" w14:textId="77777777" w:rsidR="002F520A" w:rsidRPr="008134F9" w:rsidRDefault="002F520A" w:rsidP="00687979">
      <w:pPr>
        <w:spacing w:line="240" w:lineRule="auto"/>
        <w:rPr>
          <w:rFonts w:asciiTheme="minorHAnsi" w:hAnsiTheme="minorHAnsi" w:cstheme="minorHAnsi"/>
        </w:rPr>
      </w:pPr>
    </w:p>
    <w:p w14:paraId="295F3A4E" w14:textId="3751A79F" w:rsidR="007456B7" w:rsidRPr="008134F9" w:rsidRDefault="000E20E5" w:rsidP="00687979">
      <w:pPr>
        <w:widowControl w:val="0"/>
        <w:tabs>
          <w:tab w:val="left" w:pos="284"/>
        </w:tabs>
        <w:spacing w:line="240" w:lineRule="auto"/>
      </w:pPr>
      <w:r>
        <w:t>III</w:t>
      </w:r>
      <w:r w:rsidR="007456B7" w:rsidRPr="008134F9">
        <w:t>.</w:t>
      </w:r>
      <w:r w:rsidR="007456B7" w:rsidRPr="008134F9">
        <w:tab/>
      </w:r>
      <w:r w:rsidR="002F520A" w:rsidRPr="008134F9">
        <w:t xml:space="preserve">Der </w:t>
      </w:r>
      <w:r w:rsidR="002F520A" w:rsidRPr="008134F9">
        <w:rPr>
          <w:highlight w:val="yellow"/>
        </w:rPr>
        <w:t>Gemeinderat der Politischen Gemeinde X</w:t>
      </w:r>
    </w:p>
    <w:p w14:paraId="454C81CD" w14:textId="77777777" w:rsidR="007456B7" w:rsidRPr="008134F9" w:rsidRDefault="007456B7" w:rsidP="007456B7">
      <w:pPr>
        <w:widowControl w:val="0"/>
        <w:tabs>
          <w:tab w:val="left" w:pos="284"/>
        </w:tabs>
        <w:spacing w:line="260" w:lineRule="exact"/>
      </w:pPr>
    </w:p>
    <w:p w14:paraId="231C698B" w14:textId="77777777" w:rsidR="007456B7" w:rsidRPr="000E20E5" w:rsidRDefault="007456B7" w:rsidP="007456B7">
      <w:pPr>
        <w:widowControl w:val="0"/>
        <w:tabs>
          <w:tab w:val="left" w:pos="284"/>
        </w:tabs>
        <w:spacing w:line="260" w:lineRule="exact"/>
      </w:pPr>
    </w:p>
    <w:p w14:paraId="1409CBB2" w14:textId="2BFEF902" w:rsidR="007456B7" w:rsidRPr="000E20E5" w:rsidRDefault="00904250" w:rsidP="007456B7">
      <w:pPr>
        <w:pStyle w:val="Listenabsatz"/>
        <w:widowControl w:val="0"/>
        <w:tabs>
          <w:tab w:val="left" w:pos="284"/>
        </w:tabs>
        <w:spacing w:line="260" w:lineRule="exact"/>
        <w:ind w:left="0"/>
        <w:rPr>
          <w:b/>
        </w:rPr>
      </w:pPr>
      <w:r>
        <w:rPr>
          <w:b/>
        </w:rPr>
        <w:t>beschliesst</w:t>
      </w:r>
      <w:r w:rsidR="007456B7" w:rsidRPr="000E20E5">
        <w:rPr>
          <w:b/>
        </w:rPr>
        <w:t>:</w:t>
      </w:r>
    </w:p>
    <w:p w14:paraId="56D8291B" w14:textId="77777777" w:rsidR="007456B7" w:rsidRPr="000E20E5" w:rsidRDefault="007456B7" w:rsidP="007456B7">
      <w:pPr>
        <w:spacing w:line="260" w:lineRule="exact"/>
      </w:pPr>
    </w:p>
    <w:p w14:paraId="3DADC88D" w14:textId="77777777" w:rsidR="007456B7" w:rsidRPr="000E20E5" w:rsidRDefault="007456B7" w:rsidP="007456B7">
      <w:pPr>
        <w:spacing w:line="260" w:lineRule="exact"/>
      </w:pPr>
      <w:r w:rsidRPr="000E20E5">
        <w:t xml:space="preserve">1. </w:t>
      </w:r>
      <w:r w:rsidR="000E20E5" w:rsidRPr="000E20E5">
        <w:t xml:space="preserve">Die Allgemeinverfügung der </w:t>
      </w:r>
      <w:r w:rsidR="000E20E5" w:rsidRPr="000E20E5">
        <w:rPr>
          <w:highlight w:val="yellow"/>
        </w:rPr>
        <w:t>Politischen Gemeinde X</w:t>
      </w:r>
      <w:r w:rsidR="000E20E5" w:rsidRPr="000E20E5">
        <w:t xml:space="preserve"> betreffend Feuer- und Feuerwerkverbot vom </w:t>
      </w:r>
      <w:r w:rsidR="000E20E5" w:rsidRPr="000E20E5">
        <w:rPr>
          <w:highlight w:val="yellow"/>
        </w:rPr>
        <w:t>xy. Juli 2018</w:t>
      </w:r>
      <w:r w:rsidR="000E20E5" w:rsidRPr="000E20E5">
        <w:rPr>
          <w:i/>
        </w:rPr>
        <w:t xml:space="preserve"> </w:t>
      </w:r>
      <w:r w:rsidR="000E20E5" w:rsidRPr="000E20E5">
        <w:t>wird aufgehoben.</w:t>
      </w:r>
    </w:p>
    <w:p w14:paraId="4EF39799" w14:textId="77777777" w:rsidR="007456B7" w:rsidRPr="000E20E5" w:rsidRDefault="007456B7" w:rsidP="007456B7">
      <w:pPr>
        <w:spacing w:line="260" w:lineRule="exact"/>
      </w:pPr>
    </w:p>
    <w:p w14:paraId="720BA245" w14:textId="77777777" w:rsidR="007456B7" w:rsidRPr="000E20E5" w:rsidRDefault="000E20E5" w:rsidP="007456B7">
      <w:pPr>
        <w:spacing w:line="260" w:lineRule="exact"/>
      </w:pPr>
      <w:r w:rsidRPr="000E20E5">
        <w:t>2</w:t>
      </w:r>
      <w:r w:rsidR="007456B7" w:rsidRPr="000E20E5">
        <w:t>. Mitteilung:</w:t>
      </w:r>
    </w:p>
    <w:p w14:paraId="435D1B2A" w14:textId="77777777" w:rsidR="007456B7" w:rsidRPr="000E20E5" w:rsidRDefault="007456B7" w:rsidP="007456B7">
      <w:pPr>
        <w:spacing w:line="260" w:lineRule="exact"/>
      </w:pPr>
      <w:r w:rsidRPr="000E20E5">
        <w:t xml:space="preserve">- Veröffentlichung im </w:t>
      </w:r>
      <w:r w:rsidR="00C449D3" w:rsidRPr="000E20E5">
        <w:rPr>
          <w:highlight w:val="yellow"/>
        </w:rPr>
        <w:t>amtlichen Publikationsorgan der Politischen Gemeinde X</w:t>
      </w:r>
    </w:p>
    <w:p w14:paraId="65E7FBE3" w14:textId="77777777" w:rsidR="007456B7" w:rsidRPr="000E20E5" w:rsidRDefault="007456B7" w:rsidP="007456B7">
      <w:pPr>
        <w:spacing w:line="260" w:lineRule="exact"/>
      </w:pPr>
      <w:r w:rsidRPr="000E20E5">
        <w:t xml:space="preserve">- per </w:t>
      </w:r>
      <w:r w:rsidR="00733F19" w:rsidRPr="000E20E5">
        <w:t>Gemeindehomepage</w:t>
      </w:r>
    </w:p>
    <w:p w14:paraId="0FB7274F" w14:textId="77777777" w:rsidR="00733F19" w:rsidRPr="000E20E5" w:rsidRDefault="00733F19" w:rsidP="007456B7">
      <w:pPr>
        <w:spacing w:line="260" w:lineRule="exact"/>
      </w:pPr>
      <w:r w:rsidRPr="000E20E5">
        <w:t xml:space="preserve">- </w:t>
      </w:r>
      <w:r w:rsidRPr="000E20E5">
        <w:rPr>
          <w:highlight w:val="yellow"/>
        </w:rPr>
        <w:t>allfällige weitere Publikationsformen</w:t>
      </w:r>
    </w:p>
    <w:p w14:paraId="006BAE23" w14:textId="77777777" w:rsidR="007456B7" w:rsidRPr="000E20E5" w:rsidRDefault="007456B7" w:rsidP="00C449D3">
      <w:pPr>
        <w:spacing w:line="260" w:lineRule="exact"/>
      </w:pPr>
    </w:p>
    <w:p w14:paraId="3E041D2D" w14:textId="77777777" w:rsidR="007456B7" w:rsidRPr="000E20E5" w:rsidRDefault="007456B7" w:rsidP="007456B7">
      <w:pPr>
        <w:spacing w:line="260" w:lineRule="exact"/>
      </w:pPr>
    </w:p>
    <w:p w14:paraId="3EE0247C" w14:textId="77777777" w:rsidR="007456B7" w:rsidRPr="000E20E5" w:rsidRDefault="007456B7" w:rsidP="007456B7">
      <w:pPr>
        <w:pStyle w:val="Textkrper"/>
        <w:spacing w:after="0" w:line="260" w:lineRule="exact"/>
        <w:rPr>
          <w:i/>
        </w:rPr>
      </w:pPr>
    </w:p>
    <w:p w14:paraId="37E485E2" w14:textId="77777777" w:rsidR="007456B7" w:rsidRPr="000E20E5" w:rsidRDefault="007456B7" w:rsidP="007456B7">
      <w:pPr>
        <w:pStyle w:val="Textkrper"/>
        <w:spacing w:after="0" w:line="260" w:lineRule="exact"/>
      </w:pPr>
    </w:p>
    <w:p w14:paraId="54F10AF6" w14:textId="77777777" w:rsidR="007456B7" w:rsidRPr="000E20E5" w:rsidRDefault="007456B7" w:rsidP="007456B7">
      <w:pPr>
        <w:pStyle w:val="Textkrper"/>
        <w:spacing w:after="0" w:line="260" w:lineRule="exact"/>
      </w:pPr>
    </w:p>
    <w:p w14:paraId="3E3E73BB" w14:textId="77777777" w:rsidR="007456B7" w:rsidRPr="000E20E5" w:rsidRDefault="00E7200A" w:rsidP="007456B7">
      <w:pPr>
        <w:pStyle w:val="Textkrper"/>
        <w:spacing w:after="0" w:line="260" w:lineRule="exact"/>
      </w:pPr>
      <w:r w:rsidRPr="000E20E5">
        <w:rPr>
          <w:i/>
          <w:highlight w:val="yellow"/>
        </w:rPr>
        <w:t>Ort</w:t>
      </w:r>
      <w:r w:rsidR="007456B7" w:rsidRPr="000E20E5">
        <w:t xml:space="preserve">, </w:t>
      </w:r>
      <w:r w:rsidR="007456B7" w:rsidRPr="000E20E5">
        <w:rPr>
          <w:i/>
          <w:highlight w:val="yellow"/>
        </w:rPr>
        <w:t>Datum</w:t>
      </w:r>
    </w:p>
    <w:p w14:paraId="7CEAAA24" w14:textId="77777777" w:rsidR="007456B7" w:rsidRPr="000E20E5" w:rsidRDefault="007456B7" w:rsidP="007456B7">
      <w:pPr>
        <w:keepLines/>
        <w:spacing w:line="260" w:lineRule="exact"/>
        <w:ind w:left="5160" w:hanging="5160"/>
      </w:pPr>
    </w:p>
    <w:p w14:paraId="518E25C8" w14:textId="77777777" w:rsidR="007456B7" w:rsidRPr="000E20E5" w:rsidRDefault="007456B7" w:rsidP="007456B7">
      <w:pPr>
        <w:keepLines/>
        <w:spacing w:line="260" w:lineRule="exact"/>
        <w:ind w:left="5160" w:hanging="5160"/>
      </w:pPr>
    </w:p>
    <w:p w14:paraId="554C497D" w14:textId="77777777" w:rsidR="007456B7" w:rsidRPr="000E20E5" w:rsidRDefault="007456B7" w:rsidP="007456B7">
      <w:pPr>
        <w:keepLines/>
        <w:spacing w:line="260" w:lineRule="exact"/>
        <w:ind w:left="5160" w:hanging="5160"/>
      </w:pPr>
    </w:p>
    <w:p w14:paraId="6AAC2676" w14:textId="77777777" w:rsidR="007456B7" w:rsidRPr="000E20E5" w:rsidRDefault="00EA3304" w:rsidP="007456B7">
      <w:pPr>
        <w:keepLines/>
        <w:spacing w:line="260" w:lineRule="exact"/>
        <w:ind w:left="5160" w:hanging="5160"/>
      </w:pPr>
      <w:r w:rsidRPr="000E20E5">
        <w:rPr>
          <w:highlight w:val="yellow"/>
        </w:rPr>
        <w:t>Politische Gemeinde X</w:t>
      </w:r>
    </w:p>
    <w:p w14:paraId="694C65D7" w14:textId="77777777" w:rsidR="007456B7" w:rsidRPr="000E20E5" w:rsidRDefault="007456B7" w:rsidP="007456B7">
      <w:pPr>
        <w:keepLines/>
        <w:spacing w:line="260" w:lineRule="exact"/>
        <w:ind w:left="5160" w:hanging="5160"/>
      </w:pPr>
    </w:p>
    <w:p w14:paraId="32EBD54E" w14:textId="77777777" w:rsidR="007456B7" w:rsidRPr="000E20E5" w:rsidRDefault="007456B7" w:rsidP="007456B7">
      <w:pPr>
        <w:keepLines/>
        <w:spacing w:line="260" w:lineRule="exact"/>
        <w:ind w:left="5160" w:hanging="5160"/>
      </w:pPr>
      <w:r w:rsidRPr="000E20E5">
        <w:t xml:space="preserve">Der </w:t>
      </w:r>
      <w:r w:rsidR="00EA3304" w:rsidRPr="000E20E5">
        <w:t>Gemeinderat:</w:t>
      </w:r>
    </w:p>
    <w:p w14:paraId="1C62CFE7" w14:textId="77777777" w:rsidR="007456B7" w:rsidRPr="000E20E5" w:rsidRDefault="007456B7" w:rsidP="007456B7">
      <w:pPr>
        <w:keepLines/>
        <w:spacing w:line="260" w:lineRule="exact"/>
        <w:ind w:left="5160" w:hanging="5160"/>
      </w:pPr>
    </w:p>
    <w:p w14:paraId="15CE9E19" w14:textId="77777777" w:rsidR="007456B7" w:rsidRPr="000E20E5" w:rsidRDefault="00EA3304" w:rsidP="007456B7">
      <w:pPr>
        <w:keepLines/>
        <w:spacing w:line="260" w:lineRule="exact"/>
        <w:ind w:left="5160" w:hanging="5160"/>
      </w:pPr>
      <w:r w:rsidRPr="000E20E5">
        <w:rPr>
          <w:highlight w:val="yellow"/>
        </w:rPr>
        <w:t>[Namen und Unterschrift]</w:t>
      </w:r>
    </w:p>
    <w:p w14:paraId="3293DC01" w14:textId="77777777" w:rsidR="007456B7" w:rsidRPr="000E20E5" w:rsidRDefault="007456B7" w:rsidP="007456B7">
      <w:pPr>
        <w:keepLines/>
        <w:spacing w:line="260" w:lineRule="exact"/>
        <w:ind w:left="5160" w:hanging="5160"/>
      </w:pPr>
    </w:p>
    <w:p w14:paraId="6D6BF1AB" w14:textId="77777777" w:rsidR="007456B7" w:rsidRPr="000E20E5" w:rsidRDefault="007456B7" w:rsidP="007456B7">
      <w:pPr>
        <w:keepLines/>
        <w:spacing w:line="260" w:lineRule="exact"/>
        <w:ind w:left="5160" w:hanging="5160"/>
      </w:pPr>
    </w:p>
    <w:p w14:paraId="61232F1F" w14:textId="77777777" w:rsidR="007456B7" w:rsidRPr="000E20E5" w:rsidRDefault="007456B7" w:rsidP="007456B7">
      <w:pPr>
        <w:keepLines/>
        <w:spacing w:line="260" w:lineRule="exact"/>
        <w:ind w:left="5160" w:hanging="5160"/>
      </w:pPr>
    </w:p>
    <w:p w14:paraId="1DD397CC" w14:textId="77777777" w:rsidR="007456B7" w:rsidRPr="000E20E5" w:rsidRDefault="007456B7" w:rsidP="007456B7">
      <w:pPr>
        <w:keepLines/>
        <w:spacing w:line="260" w:lineRule="exact"/>
        <w:ind w:left="5160" w:hanging="5160"/>
      </w:pPr>
    </w:p>
    <w:p w14:paraId="5973374A" w14:textId="77777777" w:rsidR="007456B7" w:rsidRPr="000E20E5" w:rsidRDefault="007456B7" w:rsidP="007456B7">
      <w:pPr>
        <w:keepLines/>
        <w:spacing w:line="260" w:lineRule="exact"/>
        <w:ind w:left="5160" w:hanging="5160"/>
      </w:pPr>
    </w:p>
    <w:p w14:paraId="341CE4FB" w14:textId="77777777" w:rsidR="007456B7" w:rsidRPr="001172F5" w:rsidRDefault="007456B7" w:rsidP="007456B7">
      <w:pPr>
        <w:spacing w:line="260" w:lineRule="exact"/>
      </w:pPr>
      <w:r w:rsidRPr="001172F5">
        <w:t>Zustellung an:</w:t>
      </w:r>
    </w:p>
    <w:p w14:paraId="477FD956" w14:textId="77777777" w:rsidR="0055498F" w:rsidRDefault="00BB3D0E" w:rsidP="0055498F">
      <w:pPr>
        <w:spacing w:line="260" w:lineRule="exact"/>
      </w:pPr>
      <w:r w:rsidRPr="001172F5">
        <w:t xml:space="preserve">- </w:t>
      </w:r>
      <w:r w:rsidR="0055498F">
        <w:t>Sicherheits- und Justizdepartement</w:t>
      </w:r>
    </w:p>
    <w:p w14:paraId="0EC18280" w14:textId="67796A8B" w:rsidR="0055498F" w:rsidRPr="00A446CA" w:rsidRDefault="0055498F" w:rsidP="0055498F">
      <w:pPr>
        <w:spacing w:line="260" w:lineRule="exact"/>
      </w:pPr>
      <w:r>
        <w:t xml:space="preserve">- </w:t>
      </w:r>
      <w:r w:rsidR="00362233">
        <w:t>GVSG</w:t>
      </w:r>
    </w:p>
    <w:p w14:paraId="30B81C34" w14:textId="77777777" w:rsidR="0055498F" w:rsidRDefault="0055498F" w:rsidP="0055498F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autoSpaceDE w:val="0"/>
        <w:autoSpaceDN w:val="0"/>
        <w:adjustRightInd w:val="0"/>
        <w:spacing w:line="240" w:lineRule="auto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 xml:space="preserve">- Gemeinderäte </w:t>
      </w:r>
    </w:p>
    <w:p w14:paraId="221EB71B" w14:textId="77777777" w:rsidR="0055498F" w:rsidRDefault="0055498F" w:rsidP="0055498F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autoSpaceDE w:val="0"/>
        <w:autoSpaceDN w:val="0"/>
        <w:adjustRightInd w:val="0"/>
        <w:spacing w:line="240" w:lineRule="auto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- RFS</w:t>
      </w:r>
    </w:p>
    <w:p w14:paraId="0F6353D7" w14:textId="77777777" w:rsidR="0055498F" w:rsidRDefault="0055498F" w:rsidP="0055498F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autoSpaceDE w:val="0"/>
        <w:autoSpaceDN w:val="0"/>
        <w:adjustRightInd w:val="0"/>
        <w:spacing w:line="240" w:lineRule="auto"/>
        <w:rPr>
          <w:rFonts w:ascii="GlyphLessFont" w:hAnsi="GlyphLessFont" w:cs="GlyphLessFont"/>
          <w:sz w:val="22"/>
          <w:szCs w:val="22"/>
        </w:rPr>
      </w:pPr>
      <w:r>
        <w:rPr>
          <w:rFonts w:ascii="GlyphLessFont" w:hAnsi="GlyphLessFont" w:cs="GlyphLessFont"/>
          <w:sz w:val="22"/>
          <w:szCs w:val="22"/>
        </w:rPr>
        <w:t>- Feuerwehr</w:t>
      </w:r>
    </w:p>
    <w:p w14:paraId="70940817" w14:textId="77777777" w:rsidR="0055498F" w:rsidRDefault="0055498F" w:rsidP="0055498F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autoSpaceDE w:val="0"/>
        <w:autoSpaceDN w:val="0"/>
        <w:adjustRightInd w:val="0"/>
        <w:spacing w:line="240" w:lineRule="auto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- Publikationsplattform</w:t>
      </w:r>
    </w:p>
    <w:p w14:paraId="3F8D2BF7" w14:textId="7A0741E7" w:rsidR="009A5D73" w:rsidRPr="001172F5" w:rsidRDefault="0055498F" w:rsidP="0055498F">
      <w:pPr>
        <w:spacing w:line="260" w:lineRule="exact"/>
      </w:pPr>
      <w:r>
        <w:rPr>
          <w:rFonts w:ascii="GlyphLessFont" w:hAnsi="GlyphLessFont" w:cs="GlyphLessFont"/>
          <w:sz w:val="20"/>
          <w:szCs w:val="20"/>
        </w:rPr>
        <w:t>- Webseite</w:t>
      </w:r>
      <w:bookmarkStart w:id="2" w:name="_GoBack"/>
      <w:bookmarkEnd w:id="2"/>
    </w:p>
    <w:sectPr w:rsidR="009A5D73" w:rsidRPr="001172F5" w:rsidSect="00CA09D5">
      <w:pgSz w:w="11906" w:h="16838" w:code="9"/>
      <w:pgMar w:top="567" w:right="567" w:bottom="121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0A534" w14:textId="77777777" w:rsidR="007456B7" w:rsidRDefault="007456B7" w:rsidP="004F60AB">
      <w:pPr>
        <w:spacing w:line="240" w:lineRule="auto"/>
      </w:pPr>
      <w:r>
        <w:separator/>
      </w:r>
    </w:p>
  </w:endnote>
  <w:endnote w:type="continuationSeparator" w:id="0">
    <w:p w14:paraId="410D2850" w14:textId="77777777" w:rsidR="007456B7" w:rsidRDefault="007456B7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yphLess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BE382" w14:textId="77777777" w:rsidR="007456B7" w:rsidRDefault="007456B7" w:rsidP="004F60AB">
      <w:pPr>
        <w:spacing w:line="240" w:lineRule="auto"/>
      </w:pPr>
      <w:r>
        <w:separator/>
      </w:r>
    </w:p>
  </w:footnote>
  <w:footnote w:type="continuationSeparator" w:id="0">
    <w:p w14:paraId="2663367D" w14:textId="77777777" w:rsidR="007456B7" w:rsidRDefault="007456B7" w:rsidP="004F60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15C38"/>
    <w:multiLevelType w:val="hybridMultilevel"/>
    <w:tmpl w:val="37FE873C"/>
    <w:lvl w:ilvl="0" w:tplc="BA303BF2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3442"/>
    <w:multiLevelType w:val="multilevel"/>
    <w:tmpl w:val="523E8850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5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B7"/>
    <w:rsid w:val="000165E4"/>
    <w:rsid w:val="000B5B9B"/>
    <w:rsid w:val="000B631A"/>
    <w:rsid w:val="000E20E5"/>
    <w:rsid w:val="001075DA"/>
    <w:rsid w:val="001172F5"/>
    <w:rsid w:val="00125388"/>
    <w:rsid w:val="0012552A"/>
    <w:rsid w:val="001434AF"/>
    <w:rsid w:val="00151A47"/>
    <w:rsid w:val="0017544C"/>
    <w:rsid w:val="001C3F6E"/>
    <w:rsid w:val="001C510E"/>
    <w:rsid w:val="00205B9B"/>
    <w:rsid w:val="0020721C"/>
    <w:rsid w:val="00207F22"/>
    <w:rsid w:val="00222FA3"/>
    <w:rsid w:val="0029798A"/>
    <w:rsid w:val="002B1EB9"/>
    <w:rsid w:val="002C2DD0"/>
    <w:rsid w:val="002F520A"/>
    <w:rsid w:val="003005A8"/>
    <w:rsid w:val="00345E88"/>
    <w:rsid w:val="003602B6"/>
    <w:rsid w:val="00362233"/>
    <w:rsid w:val="003D66F9"/>
    <w:rsid w:val="0044342E"/>
    <w:rsid w:val="004629EA"/>
    <w:rsid w:val="004C14C7"/>
    <w:rsid w:val="004F60AB"/>
    <w:rsid w:val="00535A55"/>
    <w:rsid w:val="00541CFE"/>
    <w:rsid w:val="0055498F"/>
    <w:rsid w:val="00554C1B"/>
    <w:rsid w:val="00562056"/>
    <w:rsid w:val="0059260B"/>
    <w:rsid w:val="00593ACA"/>
    <w:rsid w:val="005C5F1C"/>
    <w:rsid w:val="00603F78"/>
    <w:rsid w:val="0061214B"/>
    <w:rsid w:val="00653FAD"/>
    <w:rsid w:val="0066341B"/>
    <w:rsid w:val="00687979"/>
    <w:rsid w:val="006930C7"/>
    <w:rsid w:val="00733F19"/>
    <w:rsid w:val="007456B7"/>
    <w:rsid w:val="00762948"/>
    <w:rsid w:val="00765B7A"/>
    <w:rsid w:val="007961D6"/>
    <w:rsid w:val="007B186C"/>
    <w:rsid w:val="008134F9"/>
    <w:rsid w:val="00820F22"/>
    <w:rsid w:val="00822C80"/>
    <w:rsid w:val="008244DF"/>
    <w:rsid w:val="0086445A"/>
    <w:rsid w:val="008812BC"/>
    <w:rsid w:val="00881F26"/>
    <w:rsid w:val="008A68FB"/>
    <w:rsid w:val="008E585C"/>
    <w:rsid w:val="00904250"/>
    <w:rsid w:val="00911BD6"/>
    <w:rsid w:val="00927E5A"/>
    <w:rsid w:val="00953461"/>
    <w:rsid w:val="009A28D6"/>
    <w:rsid w:val="009A5D73"/>
    <w:rsid w:val="009B39E3"/>
    <w:rsid w:val="009D2392"/>
    <w:rsid w:val="009D6A98"/>
    <w:rsid w:val="009E111B"/>
    <w:rsid w:val="009F0792"/>
    <w:rsid w:val="009F7AA7"/>
    <w:rsid w:val="00A34900"/>
    <w:rsid w:val="00A70D35"/>
    <w:rsid w:val="00B0668A"/>
    <w:rsid w:val="00B25D92"/>
    <w:rsid w:val="00B335DC"/>
    <w:rsid w:val="00BB3D0E"/>
    <w:rsid w:val="00BE0340"/>
    <w:rsid w:val="00C33EFF"/>
    <w:rsid w:val="00C449D3"/>
    <w:rsid w:val="00C54F69"/>
    <w:rsid w:val="00C81800"/>
    <w:rsid w:val="00C968E4"/>
    <w:rsid w:val="00CA09D5"/>
    <w:rsid w:val="00CA20FF"/>
    <w:rsid w:val="00CE6765"/>
    <w:rsid w:val="00D16C5F"/>
    <w:rsid w:val="00D345D6"/>
    <w:rsid w:val="00D50BD0"/>
    <w:rsid w:val="00D66DA4"/>
    <w:rsid w:val="00D858F6"/>
    <w:rsid w:val="00D86E0C"/>
    <w:rsid w:val="00DD0151"/>
    <w:rsid w:val="00DE2A9B"/>
    <w:rsid w:val="00E07AD7"/>
    <w:rsid w:val="00E12BB8"/>
    <w:rsid w:val="00E42444"/>
    <w:rsid w:val="00E7200A"/>
    <w:rsid w:val="00E91319"/>
    <w:rsid w:val="00E95BD6"/>
    <w:rsid w:val="00EA3304"/>
    <w:rsid w:val="00EA381E"/>
    <w:rsid w:val="00EF5582"/>
    <w:rsid w:val="00F61F6F"/>
    <w:rsid w:val="00F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50D557"/>
  <w15:chartTrackingRefBased/>
  <w15:docId w15:val="{15198C2E-0961-4323-A216-01F413B8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C1B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99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A5D73"/>
    <w:pPr>
      <w:tabs>
        <w:tab w:val="clear" w:pos="425"/>
        <w:tab w:val="clear" w:pos="851"/>
        <w:tab w:val="clear" w:pos="1276"/>
        <w:tab w:val="clear" w:pos="5245"/>
        <w:tab w:val="left" w:pos="907"/>
      </w:tabs>
      <w:spacing w:before="340" w:line="340" w:lineRule="exact"/>
      <w:ind w:left="907" w:hanging="907"/>
    </w:pPr>
    <w:rPr>
      <w:b/>
    </w:rPr>
  </w:style>
  <w:style w:type="paragraph" w:styleId="Verzeichnis2">
    <w:name w:val="toc 2"/>
    <w:basedOn w:val="Standard"/>
    <w:next w:val="Standard"/>
    <w:uiPriority w:val="39"/>
    <w:rsid w:val="009A5D73"/>
    <w:pPr>
      <w:tabs>
        <w:tab w:val="clear" w:pos="425"/>
        <w:tab w:val="clear" w:pos="851"/>
        <w:tab w:val="clear" w:pos="1276"/>
        <w:tab w:val="clear" w:pos="5245"/>
        <w:tab w:val="left" w:pos="907"/>
      </w:tabs>
      <w:spacing w:line="340" w:lineRule="exact"/>
      <w:ind w:left="907" w:hanging="907"/>
    </w:pPr>
  </w:style>
  <w:style w:type="paragraph" w:styleId="Verzeichnis3">
    <w:name w:val="toc 3"/>
    <w:basedOn w:val="Standard"/>
    <w:next w:val="Standard"/>
    <w:uiPriority w:val="39"/>
    <w:rsid w:val="009A5D73"/>
    <w:pPr>
      <w:tabs>
        <w:tab w:val="clear" w:pos="425"/>
        <w:tab w:val="clear" w:pos="851"/>
        <w:tab w:val="clear" w:pos="1276"/>
        <w:tab w:val="clear" w:pos="5245"/>
        <w:tab w:val="left" w:pos="907"/>
      </w:tabs>
      <w:spacing w:line="340" w:lineRule="exact"/>
      <w:ind w:left="907" w:hanging="907"/>
    </w:pPr>
  </w:style>
  <w:style w:type="paragraph" w:styleId="Verzeichnis4">
    <w:name w:val="toc 4"/>
    <w:basedOn w:val="Standard"/>
    <w:next w:val="Standard"/>
    <w:autoRedefine/>
    <w:uiPriority w:val="39"/>
    <w:unhideWhenUsed/>
    <w:rsid w:val="009A5D73"/>
    <w:pPr>
      <w:tabs>
        <w:tab w:val="clear" w:pos="425"/>
        <w:tab w:val="clear" w:pos="851"/>
        <w:tab w:val="clear" w:pos="1276"/>
        <w:tab w:val="clear" w:pos="5245"/>
        <w:tab w:val="left" w:pos="907"/>
      </w:tabs>
      <w:spacing w:line="340" w:lineRule="exact"/>
      <w:ind w:left="907" w:hanging="907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paragraph" w:styleId="Textkrper2">
    <w:name w:val="Body Text 2"/>
    <w:basedOn w:val="Standard"/>
    <w:link w:val="Textkrper2Zchn"/>
    <w:unhideWhenUsed/>
    <w:rsid w:val="007456B7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after="120" w:line="480" w:lineRule="auto"/>
    </w:pPr>
    <w:rPr>
      <w:rFonts w:eastAsiaTheme="minorEastAsia"/>
      <w:lang w:eastAsia="de-CH"/>
    </w:rPr>
  </w:style>
  <w:style w:type="character" w:customStyle="1" w:styleId="Textkrper2Zchn">
    <w:name w:val="Textkörper 2 Zchn"/>
    <w:basedOn w:val="Absatz-Standardschriftart"/>
    <w:link w:val="Textkrper2"/>
    <w:rsid w:val="007456B7"/>
    <w:rPr>
      <w:rFonts w:eastAsiaTheme="minorEastAsia"/>
      <w:lang w:eastAsia="de-CH"/>
    </w:rPr>
  </w:style>
  <w:style w:type="paragraph" w:customStyle="1" w:styleId="Default">
    <w:name w:val="Default"/>
    <w:rsid w:val="007456B7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rticlesymbol">
    <w:name w:val="article_symbol"/>
    <w:basedOn w:val="Absatz-Standardschriftart"/>
    <w:rsid w:val="00C33EFF"/>
  </w:style>
  <w:style w:type="character" w:customStyle="1" w:styleId="number">
    <w:name w:val="number"/>
    <w:basedOn w:val="Absatz-Standardschriftart"/>
    <w:rsid w:val="00C33EFF"/>
  </w:style>
  <w:style w:type="character" w:customStyle="1" w:styleId="titletext">
    <w:name w:val="title_text"/>
    <w:basedOn w:val="Absatz-Standardschriftart"/>
    <w:rsid w:val="00C33EFF"/>
  </w:style>
  <w:style w:type="paragraph" w:styleId="StandardWeb">
    <w:name w:val="Normal (Web)"/>
    <w:basedOn w:val="Standard"/>
    <w:uiPriority w:val="99"/>
    <w:semiHidden/>
    <w:unhideWhenUsed/>
    <w:rsid w:val="00C33EFF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textcontent">
    <w:name w:val="text_content"/>
    <w:basedOn w:val="Absatz-Standardschriftart"/>
    <w:rsid w:val="00C33EFF"/>
  </w:style>
  <w:style w:type="character" w:styleId="Hyperlink">
    <w:name w:val="Hyperlink"/>
    <w:basedOn w:val="Absatz-Standardschriftart"/>
    <w:uiPriority w:val="99"/>
    <w:semiHidden/>
    <w:unhideWhenUsed/>
    <w:rsid w:val="00C33EFF"/>
    <w:rPr>
      <w:color w:val="0000FF"/>
      <w:u w:val="single"/>
    </w:rPr>
  </w:style>
  <w:style w:type="table" w:styleId="DunkleListe-Akzent6">
    <w:name w:val="Dark List Accent 6"/>
    <w:basedOn w:val="NormaleTabelle"/>
    <w:uiPriority w:val="70"/>
    <w:rsid w:val="001C3F6E"/>
    <w:pPr>
      <w:spacing w:line="240" w:lineRule="auto"/>
    </w:pPr>
    <w:rPr>
      <w:rFonts w:eastAsiaTheme="minorEastAsia"/>
      <w:color w:val="FFFFFF" w:themeColor="background1"/>
      <w:lang w:eastAsia="de-CH"/>
    </w:rPr>
    <w:tblPr>
      <w:tblStyleRowBandSize w:val="1"/>
      <w:tblStyleColBandSize w:val="1"/>
    </w:tblPr>
    <w:tcPr>
      <w:shd w:val="clear" w:color="auto" w:fill="FF9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620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20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20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20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20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C347-2BEC-46A8-B6CE-40EAE271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Breitenmoser, Irene</dc:creator>
  <cp:keywords/>
  <dc:description/>
  <cp:lastModifiedBy>Derungs Nicole SJD-AfMZ-BVS</cp:lastModifiedBy>
  <cp:revision>4</cp:revision>
  <cp:lastPrinted>2018-08-21T13:53:00Z</cp:lastPrinted>
  <dcterms:created xsi:type="dcterms:W3CDTF">2022-04-07T07:56:00Z</dcterms:created>
  <dcterms:modified xsi:type="dcterms:W3CDTF">2022-04-11T11:27:00Z</dcterms:modified>
</cp:coreProperties>
</file>