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56" w:rsidRPr="00BF364D" w:rsidRDefault="00C42A56" w:rsidP="00A17068">
      <w:pPr>
        <w:rPr>
          <w:b/>
          <w:sz w:val="28"/>
          <w:szCs w:val="28"/>
        </w:rPr>
      </w:pPr>
      <w:bookmarkStart w:id="0" w:name="_GoBack"/>
      <w:bookmarkEnd w:id="0"/>
      <w:r w:rsidRPr="00BF364D">
        <w:rPr>
          <w:b/>
          <w:sz w:val="28"/>
          <w:szCs w:val="28"/>
        </w:rPr>
        <w:t xml:space="preserve">Beiblatt Mehr- und </w:t>
      </w:r>
      <w:r w:rsidRPr="00214A3D">
        <w:rPr>
          <w:rFonts w:eastAsia="Times New Roman" w:cs="Times New Roman"/>
          <w:vanish/>
          <w:color w:val="FF0000"/>
          <w:lang w:eastAsia="de-DE"/>
        </w:rPr>
        <w:t>Mindervergütung</w:t>
      </w:r>
      <w:r w:rsidRPr="00BF364D">
        <w:rPr>
          <w:b/>
          <w:sz w:val="28"/>
          <w:szCs w:val="28"/>
        </w:rPr>
        <w:t xml:space="preserve"> wegen veränderter Kostengrundlage (Teuerungsabrech</w:t>
      </w:r>
      <w:r w:rsidR="00CD036C" w:rsidRPr="00BF364D">
        <w:rPr>
          <w:b/>
          <w:sz w:val="28"/>
          <w:szCs w:val="28"/>
        </w:rPr>
        <w:t>n</w:t>
      </w:r>
      <w:r w:rsidRPr="00BF364D">
        <w:rPr>
          <w:b/>
          <w:sz w:val="28"/>
          <w:szCs w:val="28"/>
        </w:rPr>
        <w:t>ung)</w:t>
      </w:r>
    </w:p>
    <w:p w:rsidR="00C42A56" w:rsidRDefault="00C42A56" w:rsidP="00A17068">
      <w:r>
        <w:t>zu den «Allgemeinen Bestimmungen des Hochbauamtes» Art. 3 Vergütung,</w:t>
      </w:r>
    </w:p>
    <w:p w:rsidR="00A23F71" w:rsidRDefault="00C42A56" w:rsidP="00A17068">
      <w:r>
        <w:t>Abs. 2. Abrechnungsverfahren Preisänderung / Teuerung</w:t>
      </w:r>
    </w:p>
    <w:p w:rsidR="009E2CB1" w:rsidRDefault="009E2CB1" w:rsidP="00A17068"/>
    <w:p w:rsidR="00C42A56" w:rsidRDefault="00C42A56" w:rsidP="00A17068">
      <w:pPr>
        <w:rPr>
          <w:b/>
        </w:rPr>
      </w:pPr>
      <w:r w:rsidRPr="009E2CB1">
        <w:rPr>
          <w:b/>
        </w:rPr>
        <w:t>Anzuwendendes Abrechnungsverfahren:</w:t>
      </w:r>
    </w:p>
    <w:p w:rsidR="00B0550D" w:rsidRPr="00B0550D" w:rsidRDefault="00B0550D" w:rsidP="00B0550D">
      <w:pPr>
        <w:tabs>
          <w:tab w:val="left" w:pos="993"/>
          <w:tab w:val="left" w:pos="1276"/>
          <w:tab w:val="left" w:pos="5216"/>
          <w:tab w:val="decimal" w:pos="7938"/>
          <w:tab w:val="right" w:pos="9299"/>
        </w:tabs>
        <w:rPr>
          <w:rFonts w:eastAsia="Times New Roman" w:cs="Times New Roman"/>
          <w:vanish/>
          <w:color w:val="FF0000"/>
          <w:lang w:eastAsia="de-DE"/>
        </w:rPr>
      </w:pPr>
      <w:r w:rsidRPr="00B0550D">
        <w:rPr>
          <w:rFonts w:eastAsia="Times New Roman" w:cs="Times New Roman"/>
          <w:vanish/>
          <w:color w:val="FF0000"/>
          <w:lang w:eastAsia="de-DE"/>
        </w:rPr>
        <w:t>(</w:t>
      </w:r>
      <w:r w:rsidRPr="00B0550D">
        <w:rPr>
          <w:rFonts w:eastAsia="Times New Roman" w:cs="Times New Roman"/>
          <w:b/>
          <w:vanish/>
          <w:color w:val="FF0000"/>
          <w:lang w:eastAsia="de-DE"/>
        </w:rPr>
        <w:t>Ohne</w:t>
      </w:r>
      <w:r w:rsidRPr="00B0550D">
        <w:rPr>
          <w:rFonts w:eastAsia="Times New Roman" w:cs="Times New Roman"/>
          <w:vanish/>
          <w:color w:val="FF0000"/>
          <w:lang w:eastAsia="de-DE"/>
        </w:rPr>
        <w:t xml:space="preserve"> Festpreisvereinbarung nachfolgender Absatz </w:t>
      </w:r>
      <w:r w:rsidRPr="00B0550D">
        <w:rPr>
          <w:rFonts w:eastAsia="Times New Roman" w:cs="Times New Roman"/>
          <w:b/>
          <w:vanish/>
          <w:color w:val="FF0000"/>
          <w:lang w:eastAsia="de-DE"/>
        </w:rPr>
        <w:t>löschen</w:t>
      </w:r>
      <w:r w:rsidRPr="00B0550D">
        <w:rPr>
          <w:rFonts w:eastAsia="Times New Roman" w:cs="Times New Roman"/>
          <w:vanish/>
          <w:color w:val="FF0000"/>
          <w:lang w:eastAsia="de-DE"/>
        </w:rPr>
        <w:t>!</w:t>
      </w:r>
    </w:p>
    <w:p w:rsidR="00C42A56" w:rsidRDefault="00C42A56" w:rsidP="00C42A56">
      <w:pPr>
        <w:tabs>
          <w:tab w:val="left" w:pos="567"/>
        </w:tabs>
      </w:pPr>
      <w:r>
        <w:fldChar w:fldCharType="begin">
          <w:ffData>
            <w:name w:val="Kontrollkästchen6"/>
            <w:enabled/>
            <w:calcOnExit w:val="0"/>
            <w:checkBox>
              <w:size w:val="18"/>
              <w:default w:val="0"/>
            </w:checkBox>
          </w:ffData>
        </w:fldChar>
      </w:r>
      <w:r>
        <w:instrText xml:space="preserve"> FORMCHECKBOX </w:instrText>
      </w:r>
      <w:r w:rsidR="00421725">
        <w:fldChar w:fldCharType="separate"/>
      </w:r>
      <w:r>
        <w:fldChar w:fldCharType="end"/>
      </w:r>
      <w:r>
        <w:tab/>
        <w:t xml:space="preserve">Die Preise sind fest bis </w:t>
      </w:r>
      <w:r w:rsidRPr="000F73C3">
        <w:fldChar w:fldCharType="begin">
          <w:ffData>
            <w:name w:val="Text3"/>
            <w:enabled/>
            <w:calcOnExit w:val="0"/>
            <w:textInput>
              <w:default w:val="(Zahl)"/>
            </w:textInput>
          </w:ffData>
        </w:fldChar>
      </w:r>
      <w:r w:rsidRPr="000F73C3">
        <w:instrText xml:space="preserve"> FORMTEXT </w:instrText>
      </w:r>
      <w:r w:rsidRPr="000F73C3">
        <w:fldChar w:fldCharType="separate"/>
      </w:r>
      <w:r w:rsidR="00BF364D">
        <w:rPr>
          <w:noProof/>
        </w:rPr>
        <w:t>(Zahl)</w:t>
      </w:r>
      <w:r w:rsidRPr="000F73C3">
        <w:fldChar w:fldCharType="end"/>
      </w:r>
    </w:p>
    <w:p w:rsidR="00B0550D" w:rsidRDefault="00B0550D" w:rsidP="00C42A56">
      <w:pPr>
        <w:tabs>
          <w:tab w:val="left" w:pos="993"/>
          <w:tab w:val="left" w:pos="1276"/>
          <w:tab w:val="left" w:pos="5216"/>
          <w:tab w:val="decimal" w:pos="7938"/>
          <w:tab w:val="right" w:pos="9299"/>
        </w:tabs>
        <w:rPr>
          <w:rFonts w:eastAsia="Times New Roman" w:cs="Times New Roman"/>
          <w:lang w:eastAsia="de-DE"/>
        </w:rPr>
      </w:pPr>
    </w:p>
    <w:p w:rsidR="00B0550D" w:rsidRDefault="00C42A56" w:rsidP="00C42A56">
      <w:pPr>
        <w:tabs>
          <w:tab w:val="left" w:pos="993"/>
          <w:tab w:val="left" w:pos="1276"/>
          <w:tab w:val="left" w:pos="5216"/>
          <w:tab w:val="decimal" w:pos="7938"/>
          <w:tab w:val="right" w:pos="9299"/>
        </w:tabs>
        <w:rPr>
          <w:rFonts w:eastAsia="Times New Roman" w:cs="Times New Roman"/>
          <w:vanish/>
          <w:color w:val="FF0000"/>
          <w:lang w:eastAsia="de-DE"/>
        </w:rPr>
      </w:pPr>
      <w:r w:rsidRPr="00C42A56">
        <w:rPr>
          <w:rFonts w:eastAsia="Times New Roman" w:cs="Times New Roman"/>
          <w:lang w:eastAsia="de-DE"/>
        </w:rPr>
        <w:t xml:space="preserve">Preisänderungen nach </w:t>
      </w:r>
      <w:r w:rsidRPr="00C42A56">
        <w:rPr>
          <w:rFonts w:eastAsia="Times New Roman" w:cs="Times New Roman"/>
          <w:lang w:eastAsia="de-DE"/>
        </w:rPr>
        <w:fldChar w:fldCharType="begin">
          <w:ffData>
            <w:name w:val="Text24"/>
            <w:enabled/>
            <w:calcOnExit w:val="0"/>
            <w:textInput>
              <w:default w:val="(entweder: &quot;dem Offerteingabetermin&quot;, oder: &quot;Ablauf des vereinbarten Festpreistermins&quot;)"/>
            </w:textInput>
          </w:ffData>
        </w:fldChar>
      </w:r>
      <w:bookmarkStart w:id="1" w:name="Text24"/>
      <w:r w:rsidRPr="00C42A56">
        <w:rPr>
          <w:rFonts w:eastAsia="Times New Roman" w:cs="Times New Roman"/>
          <w:lang w:eastAsia="de-DE"/>
        </w:rPr>
        <w:instrText xml:space="preserve"> FORMTEXT </w:instrText>
      </w:r>
      <w:r w:rsidRPr="00C42A56">
        <w:rPr>
          <w:rFonts w:eastAsia="Times New Roman" w:cs="Times New Roman"/>
          <w:lang w:eastAsia="de-DE"/>
        </w:rPr>
      </w:r>
      <w:r w:rsidRPr="00C42A56">
        <w:rPr>
          <w:rFonts w:eastAsia="Times New Roman" w:cs="Times New Roman"/>
          <w:lang w:eastAsia="de-DE"/>
        </w:rPr>
        <w:fldChar w:fldCharType="separate"/>
      </w:r>
      <w:r w:rsidR="00BF364D">
        <w:rPr>
          <w:rFonts w:eastAsia="Times New Roman" w:cs="Times New Roman"/>
          <w:noProof/>
          <w:lang w:eastAsia="de-DE"/>
        </w:rPr>
        <w:t>(entweder: "dem Offerteingabetermin", oder: "Ablauf des vereinbarten Festpreistermins")</w:t>
      </w:r>
      <w:r w:rsidRPr="00C42A56">
        <w:rPr>
          <w:rFonts w:eastAsia="Times New Roman" w:cs="Times New Roman"/>
          <w:lang w:eastAsia="de-DE"/>
        </w:rPr>
        <w:fldChar w:fldCharType="end"/>
      </w:r>
      <w:bookmarkEnd w:id="1"/>
      <w:r w:rsidRPr="00C42A56">
        <w:rPr>
          <w:rFonts w:eastAsia="Times New Roman" w:cs="Times New Roman"/>
          <w:lang w:eastAsia="de-DE"/>
        </w:rPr>
        <w:t xml:space="preserve"> werden berechnet n</w:t>
      </w:r>
      <w:r>
        <w:rPr>
          <w:rFonts w:eastAsia="Times New Roman" w:cs="Times New Roman"/>
          <w:lang w:eastAsia="de-DE"/>
        </w:rPr>
        <w:t>ach dem</w:t>
      </w:r>
      <w:r w:rsidR="00B0550D" w:rsidRPr="00C42A56">
        <w:rPr>
          <w:rFonts w:eastAsia="Times New Roman" w:cs="Times New Roman"/>
          <w:vanish/>
          <w:color w:val="FF0000"/>
          <w:lang w:eastAsia="de-DE"/>
        </w:rPr>
        <w:t xml:space="preserve"> </w:t>
      </w:r>
    </w:p>
    <w:p w:rsidR="00C42A56" w:rsidRPr="00C42A56" w:rsidRDefault="00C42A56" w:rsidP="00C42A56">
      <w:pPr>
        <w:tabs>
          <w:tab w:val="left" w:pos="993"/>
          <w:tab w:val="left" w:pos="1276"/>
          <w:tab w:val="left" w:pos="5216"/>
          <w:tab w:val="decimal" w:pos="7938"/>
          <w:tab w:val="right" w:pos="9299"/>
        </w:tabs>
        <w:rPr>
          <w:rFonts w:eastAsia="Times New Roman" w:cs="Times New Roman"/>
          <w:lang w:eastAsia="de-DE"/>
        </w:rPr>
      </w:pPr>
      <w:r w:rsidRPr="00C42A56">
        <w:rPr>
          <w:rFonts w:eastAsia="Times New Roman" w:cs="Times New Roman"/>
          <w:vanish/>
          <w:color w:val="FF0000"/>
          <w:lang w:eastAsia="de-DE"/>
        </w:rPr>
        <w:t>(Nachfolgend nicht Zutreffendes löschen und allenfalls ergänzen)</w:t>
      </w:r>
    </w:p>
    <w:p w:rsidR="00C42A56" w:rsidRPr="00C42A56" w:rsidRDefault="00C42A56" w:rsidP="00C42A56">
      <w:pPr>
        <w:tabs>
          <w:tab w:val="decimal" w:pos="0"/>
          <w:tab w:val="left" w:pos="567"/>
          <w:tab w:val="left" w:pos="5216"/>
          <w:tab w:val="right" w:pos="9299"/>
        </w:tabs>
        <w:contextualSpacing/>
        <w:rPr>
          <w:rFonts w:eastAsia="Times New Roman" w:cs="Times New Roman"/>
          <w:lang w:eastAsia="de-DE"/>
        </w:rPr>
      </w:pPr>
      <w:r>
        <w:fldChar w:fldCharType="begin">
          <w:ffData>
            <w:name w:val="Kontrollkästchen6"/>
            <w:enabled/>
            <w:calcOnExit w:val="0"/>
            <w:checkBox>
              <w:size w:val="18"/>
              <w:default w:val="0"/>
            </w:checkBox>
          </w:ffData>
        </w:fldChar>
      </w:r>
      <w:r>
        <w:instrText xml:space="preserve"> FORMCHECKBOX </w:instrText>
      </w:r>
      <w:r w:rsidR="00421725">
        <w:fldChar w:fldCharType="separate"/>
      </w:r>
      <w:r>
        <w:fldChar w:fldCharType="end"/>
      </w:r>
      <w:r>
        <w:tab/>
      </w:r>
      <w:r w:rsidRPr="00C42A56">
        <w:rPr>
          <w:rFonts w:eastAsia="Times New Roman" w:cs="Times New Roman"/>
          <w:lang w:eastAsia="de-DE"/>
        </w:rPr>
        <w:t>Verfahren nach Gleitpreisformel (GPF);</w:t>
      </w:r>
    </w:p>
    <w:p w:rsidR="00C42A56" w:rsidRPr="00C42A56" w:rsidRDefault="00C42A56" w:rsidP="00C42A56">
      <w:pPr>
        <w:tabs>
          <w:tab w:val="left" w:pos="567"/>
          <w:tab w:val="right" w:pos="9299"/>
        </w:tabs>
        <w:contextualSpacing/>
        <w:rPr>
          <w:rFonts w:eastAsia="Times New Roman" w:cs="Times New Roman"/>
          <w:lang w:eastAsia="de-DE"/>
        </w:rPr>
      </w:pPr>
      <w:r>
        <w:fldChar w:fldCharType="begin">
          <w:ffData>
            <w:name w:val="Kontrollkästchen6"/>
            <w:enabled/>
            <w:calcOnExit w:val="0"/>
            <w:checkBox>
              <w:size w:val="18"/>
              <w:default w:val="0"/>
            </w:checkBox>
          </w:ffData>
        </w:fldChar>
      </w:r>
      <w:r>
        <w:instrText xml:space="preserve"> FORMCHECKBOX </w:instrText>
      </w:r>
      <w:r w:rsidR="00421725">
        <w:fldChar w:fldCharType="separate"/>
      </w:r>
      <w:r>
        <w:fldChar w:fldCharType="end"/>
      </w:r>
      <w:r>
        <w:tab/>
      </w:r>
      <w:r w:rsidRPr="00C42A56">
        <w:rPr>
          <w:rFonts w:eastAsia="Times New Roman" w:cs="Times New Roman"/>
          <w:lang w:eastAsia="de-DE"/>
        </w:rPr>
        <w:t xml:space="preserve">Produktionskosten-Index (PKI) des Schweizerischen Baumeisterverbandes (SBV), </w:t>
      </w:r>
      <w:r>
        <w:rPr>
          <w:rFonts w:eastAsia="Times New Roman" w:cs="Times New Roman"/>
          <w:lang w:eastAsia="de-DE"/>
        </w:rPr>
        <w:tab/>
      </w:r>
      <w:r w:rsidRPr="00C42A56">
        <w:rPr>
          <w:rFonts w:eastAsia="Times New Roman" w:cs="Times New Roman"/>
          <w:lang w:eastAsia="de-DE"/>
        </w:rPr>
        <w:t xml:space="preserve">aktueller Stand; Methode nach </w:t>
      </w:r>
      <w:r w:rsidRPr="00C42A56">
        <w:rPr>
          <w:rFonts w:eastAsia="Times New Roman" w:cs="Times New Roman"/>
          <w:lang w:eastAsia="de-DE"/>
        </w:rPr>
        <w:fldChar w:fldCharType="begin">
          <w:ffData>
            <w:name w:val="Text25"/>
            <w:enabled/>
            <w:calcOnExit w:val="0"/>
            <w:textInput/>
          </w:ffData>
        </w:fldChar>
      </w:r>
      <w:bookmarkStart w:id="2" w:name="Text25"/>
      <w:r w:rsidRPr="00C42A56">
        <w:rPr>
          <w:rFonts w:eastAsia="Times New Roman" w:cs="Times New Roman"/>
          <w:lang w:eastAsia="de-DE"/>
        </w:rPr>
        <w:instrText xml:space="preserve"> FORMTEXT </w:instrText>
      </w:r>
      <w:r w:rsidRPr="00C42A56">
        <w:rPr>
          <w:rFonts w:eastAsia="Times New Roman" w:cs="Times New Roman"/>
          <w:lang w:eastAsia="de-DE"/>
        </w:rPr>
      </w:r>
      <w:r w:rsidRPr="00C42A56">
        <w:rPr>
          <w:rFonts w:eastAsia="Times New Roman" w:cs="Times New Roman"/>
          <w:lang w:eastAsia="de-DE"/>
        </w:rPr>
        <w:fldChar w:fldCharType="separate"/>
      </w:r>
      <w:r w:rsidR="00BF364D">
        <w:rPr>
          <w:rFonts w:eastAsia="Times New Roman" w:cs="Times New Roman"/>
          <w:noProof/>
          <w:lang w:eastAsia="de-DE"/>
        </w:rPr>
        <w:t> </w:t>
      </w:r>
      <w:r w:rsidR="00BF364D">
        <w:rPr>
          <w:rFonts w:eastAsia="Times New Roman" w:cs="Times New Roman"/>
          <w:noProof/>
          <w:lang w:eastAsia="de-DE"/>
        </w:rPr>
        <w:t> </w:t>
      </w:r>
      <w:r w:rsidR="00BF364D">
        <w:rPr>
          <w:rFonts w:eastAsia="Times New Roman" w:cs="Times New Roman"/>
          <w:noProof/>
          <w:lang w:eastAsia="de-DE"/>
        </w:rPr>
        <w:t> </w:t>
      </w:r>
      <w:r w:rsidR="00BF364D">
        <w:rPr>
          <w:rFonts w:eastAsia="Times New Roman" w:cs="Times New Roman"/>
          <w:noProof/>
          <w:lang w:eastAsia="de-DE"/>
        </w:rPr>
        <w:t> </w:t>
      </w:r>
      <w:r w:rsidR="00BF364D">
        <w:rPr>
          <w:rFonts w:eastAsia="Times New Roman" w:cs="Times New Roman"/>
          <w:noProof/>
          <w:lang w:eastAsia="de-DE"/>
        </w:rPr>
        <w:t> </w:t>
      </w:r>
      <w:r w:rsidRPr="00C42A56">
        <w:rPr>
          <w:rFonts w:eastAsia="Times New Roman" w:cs="Times New Roman"/>
          <w:lang w:eastAsia="de-DE"/>
        </w:rPr>
        <w:fldChar w:fldCharType="end"/>
      </w:r>
      <w:bookmarkEnd w:id="2"/>
      <w:r w:rsidRPr="00C42A56">
        <w:rPr>
          <w:rFonts w:eastAsia="Times New Roman" w:cs="Times New Roman"/>
          <w:lang w:eastAsia="de-DE"/>
        </w:rPr>
        <w:t xml:space="preserve"> </w:t>
      </w:r>
      <w:r w:rsidRPr="00C42A56">
        <w:rPr>
          <w:rFonts w:eastAsia="Times New Roman" w:cs="Times New Roman"/>
          <w:vanish/>
          <w:color w:val="FF0000"/>
          <w:lang w:eastAsia="de-DE"/>
        </w:rPr>
        <w:t>(Nach Bausparten oder NPK-Kostenmodell)</w:t>
      </w:r>
    </w:p>
    <w:p w:rsidR="009E2CB1" w:rsidRDefault="009E2CB1" w:rsidP="00C42A56">
      <w:pPr>
        <w:tabs>
          <w:tab w:val="left" w:pos="567"/>
        </w:tabs>
      </w:pPr>
    </w:p>
    <w:p w:rsidR="00C42A56" w:rsidRPr="00B0550D" w:rsidRDefault="00C42A56" w:rsidP="00C42A56">
      <w:pPr>
        <w:rPr>
          <w:b/>
          <w:color w:val="FF0000"/>
        </w:rPr>
      </w:pPr>
      <w:r w:rsidRPr="00C42A56">
        <w:rPr>
          <w:b/>
        </w:rPr>
        <w:t xml:space="preserve">Abrechnungsperiode für Preisänderungen </w:t>
      </w:r>
      <w:r w:rsidRPr="00B0550D">
        <w:rPr>
          <w:vanish/>
          <w:color w:val="FF0000"/>
        </w:rPr>
        <w:t>(Verfahren wählen und Abrechnungsperiode bestimmen)</w:t>
      </w:r>
    </w:p>
    <w:p w:rsidR="00C42A56" w:rsidRPr="00C42A56" w:rsidRDefault="00C42A56" w:rsidP="00C42A56">
      <w:pPr>
        <w:rPr>
          <w:vanish/>
        </w:rPr>
      </w:pPr>
      <w:r w:rsidRPr="00B0550D">
        <w:rPr>
          <w:vanish/>
          <w:color w:val="FF0000"/>
        </w:rPr>
        <w:t>Entweder</w:t>
      </w:r>
      <w:r w:rsidRPr="00C42A56">
        <w:rPr>
          <w:vanish/>
        </w:rPr>
        <w:t xml:space="preserve"> </w:t>
      </w:r>
    </w:p>
    <w:p w:rsidR="00C42A56" w:rsidRPr="00C42A56" w:rsidRDefault="00C42A56" w:rsidP="00C42A56">
      <w:r w:rsidRPr="00C42A56">
        <w:t>Bei Verfahren nach Gleitpreisformel:</w:t>
      </w:r>
      <w:r w:rsidRPr="00C42A56">
        <w:tab/>
      </w:r>
      <w:bookmarkStart w:id="3" w:name="Text50"/>
      <w:r w:rsidRPr="00C42A56">
        <w:fldChar w:fldCharType="begin">
          <w:ffData>
            <w:name w:val="Text50"/>
            <w:enabled/>
            <w:calcOnExit w:val="0"/>
            <w:textInput>
              <w:default w:val="(viertel-/halbjährlich/jährlich)"/>
            </w:textInput>
          </w:ffData>
        </w:fldChar>
      </w:r>
      <w:r w:rsidRPr="00C42A56">
        <w:instrText xml:space="preserve"> FORMTEXT </w:instrText>
      </w:r>
      <w:r w:rsidRPr="00C42A56">
        <w:fldChar w:fldCharType="separate"/>
      </w:r>
      <w:r w:rsidR="00BF364D">
        <w:rPr>
          <w:noProof/>
        </w:rPr>
        <w:t>(viertel-/halbjährlich/jährlich)</w:t>
      </w:r>
      <w:r w:rsidRPr="00C42A56">
        <w:fldChar w:fldCharType="end"/>
      </w:r>
      <w:bookmarkEnd w:id="3"/>
    </w:p>
    <w:p w:rsidR="00C42A56" w:rsidRPr="00C42A56" w:rsidRDefault="00B0550D" w:rsidP="00C42A56">
      <w:pPr>
        <w:rPr>
          <w:vanish/>
        </w:rPr>
      </w:pPr>
      <w:r w:rsidRPr="00B0550D">
        <w:rPr>
          <w:vanish/>
          <w:color w:val="FF0000"/>
        </w:rPr>
        <w:t>o</w:t>
      </w:r>
      <w:r w:rsidR="00C42A56" w:rsidRPr="00B0550D">
        <w:rPr>
          <w:vanish/>
          <w:color w:val="FF0000"/>
        </w:rPr>
        <w:t>der</w:t>
      </w:r>
      <w:r w:rsidR="00C42A56" w:rsidRPr="00C42A56">
        <w:rPr>
          <w:vanish/>
        </w:rPr>
        <w:t xml:space="preserve"> </w:t>
      </w:r>
    </w:p>
    <w:p w:rsidR="00C42A56" w:rsidRDefault="00C42A56" w:rsidP="00C42A56">
      <w:r w:rsidRPr="00C42A56">
        <w:t>Bei Verfahren nach Produktionskosten-Index:</w:t>
      </w:r>
      <w:r w:rsidRPr="00C42A56">
        <w:tab/>
        <w:t>vierteljährlich</w:t>
      </w:r>
      <w:r w:rsidR="00B0550D">
        <w:t xml:space="preserve"> </w:t>
      </w:r>
      <w:r w:rsidR="00B0550D">
        <w:rPr>
          <w:vanish/>
          <w:color w:val="FF0000"/>
        </w:rPr>
        <w:t>immer vierteljährlich</w:t>
      </w:r>
    </w:p>
    <w:p w:rsidR="009E2CB1" w:rsidRDefault="009E2CB1" w:rsidP="00C42A56"/>
    <w:p w:rsidR="009E2CB1" w:rsidRPr="009E2CB1" w:rsidRDefault="009E2CB1" w:rsidP="009E2CB1">
      <w:pPr>
        <w:rPr>
          <w:b/>
        </w:rPr>
      </w:pPr>
      <w:r w:rsidRPr="009E2CB1">
        <w:rPr>
          <w:b/>
        </w:rPr>
        <w:t>Anwendungsbestimmungen (alle Verfahren)</w:t>
      </w:r>
    </w:p>
    <w:p w:rsidR="009E2CB1" w:rsidRDefault="009E2CB1" w:rsidP="009E2CB1">
      <w:r w:rsidRPr="009E2CB1">
        <w:t>Es gelten die Anwendungsbestimmungen gemäss «Leitfaden zur Berechnung von Preisänderungen im Bauwesen» der Koordination der Bau- und Liegenschaftsorgane des Bundes (KBOB); die zur Zeit des Vertragsabschlusses aktuellste Version des Leitfadens.</w:t>
      </w:r>
      <w:r w:rsidRPr="009E2CB1">
        <w:br/>
        <w:t>Auf die Preisänderungssumme kann kein Unkostenbeitrag verlangt werden.</w:t>
      </w:r>
    </w:p>
    <w:p w:rsidR="009E2CB1" w:rsidRPr="009E2CB1" w:rsidRDefault="009E2CB1" w:rsidP="009E2CB1"/>
    <w:p w:rsidR="009E2CB1" w:rsidRPr="009E2CB1" w:rsidRDefault="009E2CB1" w:rsidP="009E2CB1">
      <w:pPr>
        <w:rPr>
          <w:b/>
        </w:rPr>
      </w:pPr>
      <w:r w:rsidRPr="009E2CB1">
        <w:rPr>
          <w:b/>
        </w:rPr>
        <w:t xml:space="preserve">Verfahren nach Gleitpreisformel (GPF) </w:t>
      </w:r>
      <w:r w:rsidRPr="00B0550D">
        <w:rPr>
          <w:vanish/>
          <w:color w:val="FF0000"/>
        </w:rPr>
        <w:t>(Bei Nichtgebrauch Teilabschnitt löschen)</w:t>
      </w:r>
    </w:p>
    <w:p w:rsidR="009E2CB1" w:rsidRPr="009E2CB1" w:rsidRDefault="009E2CB1" w:rsidP="009E2CB1">
      <w:r w:rsidRPr="009E2CB1">
        <w:t>Der Fixkostenanteil (= Kostenanteil in % aller Kosten, auf die keine Teuerung verrechnet werden darf) beträgt mindestens 20 Prozent.</w:t>
      </w:r>
    </w:p>
    <w:p w:rsidR="009E2CB1" w:rsidRPr="009E2CB1" w:rsidRDefault="009E2CB1" w:rsidP="009E2CB1"/>
    <w:p w:rsidR="009E2CB1" w:rsidRPr="009E2CB1" w:rsidRDefault="009E2CB1" w:rsidP="00214A3D">
      <w:pPr>
        <w:tabs>
          <w:tab w:val="left" w:pos="2005"/>
        </w:tabs>
      </w:pPr>
      <w:r w:rsidRPr="009E2CB1">
        <w:rPr>
          <w:b/>
        </w:rPr>
        <w:t>Kostenanteile</w:t>
      </w:r>
      <w:r w:rsidRPr="009E2CB1">
        <w:rPr>
          <w:b/>
          <w:vertAlign w:val="superscript"/>
        </w:rPr>
        <w:footnoteReference w:id="1"/>
      </w:r>
      <w:r w:rsidRPr="009E2CB1">
        <w:rPr>
          <w:b/>
          <w:vertAlign w:val="superscript"/>
        </w:rPr>
        <w:t xml:space="preserve">: </w:t>
      </w:r>
      <w:r w:rsidRPr="00B0550D">
        <w:rPr>
          <w:vanish/>
          <w:color w:val="FF0000"/>
        </w:rPr>
        <w:t>(Müssen zwingend vor Vertragsabschluss ausgefüllt sein)</w:t>
      </w:r>
      <w:r w:rsidR="00214A3D">
        <w:rPr>
          <w:color w:val="FF0000"/>
        </w:rPr>
        <w:tab/>
      </w:r>
    </w:p>
    <w:p w:rsidR="009E2CB1" w:rsidRPr="009E2CB1" w:rsidRDefault="009E2CB1" w:rsidP="009E2CB1">
      <w:pPr>
        <w:tabs>
          <w:tab w:val="left" w:pos="3402"/>
          <w:tab w:val="left" w:pos="4678"/>
          <w:tab w:val="left" w:pos="4962"/>
        </w:tabs>
      </w:pPr>
      <w:r w:rsidRPr="009E2CB1">
        <w:t>Fixkostenanteil</w:t>
      </w:r>
      <w:r w:rsidRPr="009E2CB1">
        <w:tab/>
        <w:t>……………</w:t>
      </w:r>
      <w:r w:rsidRPr="009E2CB1">
        <w:tab/>
        <w:t>%</w:t>
      </w:r>
      <w:r>
        <w:tab/>
      </w:r>
      <w:r w:rsidRPr="009E2CB1">
        <w:t>(mind. 20%)</w:t>
      </w:r>
    </w:p>
    <w:p w:rsidR="009E2CB1" w:rsidRPr="009E2CB1" w:rsidRDefault="009E2CB1" w:rsidP="009E2CB1">
      <w:pPr>
        <w:tabs>
          <w:tab w:val="left" w:pos="3402"/>
          <w:tab w:val="left" w:pos="4678"/>
        </w:tabs>
      </w:pPr>
      <w:r w:rsidRPr="009E2CB1">
        <w:t xml:space="preserve">Lohnabhängiger Kostenanteil </w:t>
      </w:r>
      <w:r w:rsidRPr="009E2CB1">
        <w:rPr>
          <w:vertAlign w:val="superscript"/>
        </w:rPr>
        <w:t>A</w:t>
      </w:r>
      <w:r w:rsidRPr="009E2CB1">
        <w:t xml:space="preserve"> </w:t>
      </w:r>
      <w:r w:rsidRPr="009E2CB1">
        <w:tab/>
        <w:t xml:space="preserve">…………… </w:t>
      </w:r>
      <w:r>
        <w:tab/>
      </w:r>
      <w:r w:rsidRPr="009E2CB1">
        <w:t>%</w:t>
      </w:r>
    </w:p>
    <w:p w:rsidR="009E2CB1" w:rsidRPr="009E2CB1" w:rsidRDefault="009E2CB1" w:rsidP="009E2CB1">
      <w:pPr>
        <w:tabs>
          <w:tab w:val="left" w:pos="3402"/>
          <w:tab w:val="left" w:pos="4678"/>
        </w:tabs>
      </w:pPr>
      <w:r w:rsidRPr="009E2CB1">
        <w:t xml:space="preserve">Materialabhängiger Kostenanteil </w:t>
      </w:r>
      <w:r w:rsidRPr="009E2CB1">
        <w:rPr>
          <w:vertAlign w:val="superscript"/>
        </w:rPr>
        <w:t>B</w:t>
      </w:r>
      <w:r w:rsidRPr="009E2CB1">
        <w:tab/>
        <w:t>……………</w:t>
      </w:r>
      <w:r>
        <w:tab/>
      </w:r>
      <w:r w:rsidRPr="009E2CB1">
        <w:t>%</w:t>
      </w:r>
    </w:p>
    <w:p w:rsidR="009E2CB1" w:rsidRPr="009E2CB1" w:rsidRDefault="009E2CB1" w:rsidP="009E2CB1">
      <w:pPr>
        <w:tabs>
          <w:tab w:val="left" w:pos="3402"/>
          <w:tab w:val="left" w:pos="4678"/>
          <w:tab w:val="left" w:pos="4962"/>
        </w:tabs>
      </w:pPr>
      <w:r w:rsidRPr="009E2CB1">
        <w:t>Ev. transportabhängiger Anteil</w:t>
      </w:r>
      <w:r w:rsidRPr="009E2CB1">
        <w:tab/>
      </w:r>
      <w:r>
        <w:t>……………</w:t>
      </w:r>
      <w:r>
        <w:tab/>
      </w:r>
      <w:r w:rsidRPr="009E2CB1">
        <w:t>%</w:t>
      </w:r>
      <w:r w:rsidRPr="009E2CB1">
        <w:tab/>
      </w:r>
      <w:r w:rsidRPr="009E2CB1">
        <w:rPr>
          <w:sz w:val="16"/>
          <w:szCs w:val="16"/>
        </w:rPr>
        <w:t xml:space="preserve">(nur wenn sie im Leistungsverzeichnis </w:t>
      </w:r>
      <w:r>
        <w:rPr>
          <w:sz w:val="16"/>
          <w:szCs w:val="16"/>
        </w:rPr>
        <w:tab/>
      </w:r>
      <w:r>
        <w:rPr>
          <w:sz w:val="16"/>
          <w:szCs w:val="16"/>
        </w:rPr>
        <w:tab/>
      </w:r>
      <w:r>
        <w:rPr>
          <w:sz w:val="16"/>
          <w:szCs w:val="16"/>
        </w:rPr>
        <w:tab/>
      </w:r>
      <w:r>
        <w:rPr>
          <w:sz w:val="16"/>
          <w:szCs w:val="16"/>
        </w:rPr>
        <w:tab/>
      </w:r>
      <w:r w:rsidRPr="009E2CB1">
        <w:rPr>
          <w:sz w:val="16"/>
          <w:szCs w:val="16"/>
        </w:rPr>
        <w:t>explizit als Transporte ausgeschrieben sind)</w:t>
      </w:r>
    </w:p>
    <w:p w:rsidR="009E2CB1" w:rsidRPr="009E2CB1" w:rsidRDefault="009E2CB1" w:rsidP="009E2CB1">
      <w:pPr>
        <w:tabs>
          <w:tab w:val="left" w:pos="3402"/>
          <w:tab w:val="left" w:pos="4678"/>
        </w:tabs>
      </w:pPr>
      <w:r w:rsidRPr="009E2CB1">
        <w:t>Total Anteile</w:t>
      </w:r>
      <w:r w:rsidRPr="009E2CB1">
        <w:tab/>
      </w:r>
      <w:r w:rsidRPr="009E2CB1">
        <w:rPr>
          <w:u w:val="double"/>
        </w:rPr>
        <w:t xml:space="preserve">        </w:t>
      </w:r>
      <w:r w:rsidRPr="009E2CB1">
        <w:rPr>
          <w:b/>
          <w:u w:val="double"/>
        </w:rPr>
        <w:t>100</w:t>
      </w:r>
      <w:r w:rsidRPr="009E2CB1">
        <w:rPr>
          <w:u w:val="double"/>
        </w:rPr>
        <w:tab/>
      </w:r>
      <w:r w:rsidRPr="009E2CB1">
        <w:t xml:space="preserve"> %</w:t>
      </w:r>
    </w:p>
    <w:p w:rsidR="009E2CB1" w:rsidRPr="009E2CB1" w:rsidRDefault="009E2CB1" w:rsidP="009E2CB1"/>
    <w:p w:rsidR="009E2CB1" w:rsidRPr="009E2CB1" w:rsidRDefault="009E2CB1" w:rsidP="009E2CB1">
      <w:pPr>
        <w:tabs>
          <w:tab w:val="left" w:pos="1418"/>
        </w:tabs>
      </w:pPr>
      <w:r w:rsidRPr="009E2CB1">
        <w:t>Für die Teuerungsberechnung nach GPF werden folgende Indizes verwendet:</w:t>
      </w:r>
    </w:p>
    <w:p w:rsidR="009E2CB1" w:rsidRPr="009E2CB1" w:rsidRDefault="009E2CB1" w:rsidP="00CD036C">
      <w:pPr>
        <w:tabs>
          <w:tab w:val="left" w:pos="1701"/>
        </w:tabs>
      </w:pPr>
      <w:r w:rsidRPr="009E2CB1">
        <w:t>für Löhne</w:t>
      </w:r>
      <w:r w:rsidRPr="009E2CB1">
        <w:tab/>
        <w:t xml:space="preserve">«Personalkostenindex Bauhauptgewerbe» und </w:t>
      </w:r>
      <w:r w:rsidR="00CD036C">
        <w:tab/>
      </w:r>
      <w:r w:rsidRPr="009E2CB1">
        <w:t>«Lohnkostenänderungen im Ausbaugewerbe» des KBOB</w:t>
      </w:r>
    </w:p>
    <w:p w:rsidR="009E2CB1" w:rsidRPr="009E2CB1" w:rsidRDefault="009E2CB1" w:rsidP="00CD036C">
      <w:pPr>
        <w:tabs>
          <w:tab w:val="left" w:pos="1701"/>
        </w:tabs>
      </w:pPr>
      <w:r w:rsidRPr="009E2CB1">
        <w:lastRenderedPageBreak/>
        <w:t>für Material</w:t>
      </w:r>
      <w:r w:rsidRPr="009E2CB1">
        <w:tab/>
        <w:t>«Preisindizes ausgewählter Produkte für das Baugewerbe» des KBOB</w:t>
      </w:r>
    </w:p>
    <w:p w:rsidR="009E2CB1" w:rsidRPr="009E2CB1" w:rsidRDefault="009E2CB1" w:rsidP="00CD036C">
      <w:pPr>
        <w:tabs>
          <w:tab w:val="left" w:pos="1701"/>
        </w:tabs>
      </w:pPr>
      <w:r w:rsidRPr="009E2CB1">
        <w:t>für Transporte</w:t>
      </w:r>
      <w:r w:rsidRPr="009E2CB1">
        <w:tab/>
        <w:t>«Preisindizes Transporte für das Baugewerbe» des KBOB</w:t>
      </w:r>
    </w:p>
    <w:p w:rsidR="00CD036C" w:rsidRDefault="00CD036C">
      <w:r>
        <w:br w:type="page"/>
      </w:r>
    </w:p>
    <w:p w:rsidR="009E2CB1" w:rsidRPr="009E2CB1" w:rsidRDefault="009E2CB1" w:rsidP="009E2CB1">
      <w:r w:rsidRPr="009E2CB1">
        <w:rPr>
          <w:vertAlign w:val="superscript"/>
        </w:rPr>
        <w:lastRenderedPageBreak/>
        <w:t>A</w:t>
      </w:r>
      <w:r w:rsidRPr="009E2CB1">
        <w:t xml:space="preserve"> Subanteile für Löhne: Die Subanteile sind spätestens vor Vertragsabschluss festzulegen</w:t>
      </w:r>
    </w:p>
    <w:tbl>
      <w:tblPr>
        <w:tblStyle w:val="Tabellenraster"/>
        <w:tblW w:w="8197" w:type="dxa"/>
        <w:tblInd w:w="142"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969"/>
        <w:gridCol w:w="1701"/>
        <w:gridCol w:w="425"/>
        <w:gridCol w:w="2102"/>
      </w:tblGrid>
      <w:tr w:rsidR="009E2CB1" w:rsidRPr="009E2CB1" w:rsidTr="009E2CB1">
        <w:tc>
          <w:tcPr>
            <w:tcW w:w="3969" w:type="dxa"/>
          </w:tcPr>
          <w:p w:rsidR="009E2CB1" w:rsidRPr="009E2CB1" w:rsidRDefault="009E2CB1" w:rsidP="009E2CB1">
            <w:r w:rsidRPr="009E2CB1">
              <w:t>Arbeitsgattung:</w:t>
            </w:r>
          </w:p>
        </w:tc>
        <w:tc>
          <w:tcPr>
            <w:tcW w:w="1701" w:type="dxa"/>
          </w:tcPr>
          <w:p w:rsidR="009E2CB1" w:rsidRPr="009E2CB1" w:rsidRDefault="009E2CB1" w:rsidP="009E2CB1">
            <w:r w:rsidRPr="009E2CB1">
              <w:t>Prozentanteil:</w:t>
            </w:r>
          </w:p>
        </w:tc>
        <w:tc>
          <w:tcPr>
            <w:tcW w:w="425" w:type="dxa"/>
          </w:tcPr>
          <w:p w:rsidR="009E2CB1" w:rsidRPr="009E2CB1" w:rsidRDefault="009E2CB1" w:rsidP="009E2CB1"/>
        </w:tc>
        <w:tc>
          <w:tcPr>
            <w:tcW w:w="2102" w:type="dxa"/>
          </w:tcPr>
          <w:p w:rsidR="009E2CB1" w:rsidRPr="009E2CB1" w:rsidRDefault="009E2CB1" w:rsidP="009E2CB1">
            <w:r w:rsidRPr="009E2CB1">
              <w:t>BKP:</w:t>
            </w:r>
          </w:p>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bl>
    <w:p w:rsidR="009E2CB1" w:rsidRPr="009E2CB1" w:rsidRDefault="009E2CB1" w:rsidP="009E2CB1"/>
    <w:p w:rsidR="009E2CB1" w:rsidRPr="009E2CB1" w:rsidRDefault="009E2CB1" w:rsidP="00CD036C">
      <w:pPr>
        <w:tabs>
          <w:tab w:val="left" w:pos="142"/>
        </w:tabs>
      </w:pPr>
      <w:r w:rsidRPr="009E2CB1">
        <w:rPr>
          <w:vertAlign w:val="superscript"/>
        </w:rPr>
        <w:t>B</w:t>
      </w:r>
      <w:r w:rsidRPr="009E2CB1">
        <w:t xml:space="preserve"> Subanteile für Material: Die Subanteile sind s</w:t>
      </w:r>
      <w:r w:rsidR="00CD036C">
        <w:t xml:space="preserve">pätestens vor Vertragsabschluss </w:t>
      </w:r>
      <w:r w:rsidR="00CD036C">
        <w:tab/>
      </w:r>
      <w:r w:rsidRPr="009E2CB1">
        <w:t>festzulegen</w:t>
      </w:r>
    </w:p>
    <w:tbl>
      <w:tblPr>
        <w:tblStyle w:val="Tabellenraster"/>
        <w:tblW w:w="8197" w:type="dxa"/>
        <w:tblInd w:w="142"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969"/>
        <w:gridCol w:w="1701"/>
        <w:gridCol w:w="425"/>
        <w:gridCol w:w="2102"/>
      </w:tblGrid>
      <w:tr w:rsidR="009E2CB1" w:rsidRPr="009E2CB1" w:rsidTr="009E2CB1">
        <w:tc>
          <w:tcPr>
            <w:tcW w:w="3969" w:type="dxa"/>
          </w:tcPr>
          <w:p w:rsidR="009E2CB1" w:rsidRPr="009E2CB1" w:rsidRDefault="009E2CB1" w:rsidP="009E2CB1">
            <w:r w:rsidRPr="009E2CB1">
              <w:t>Material:</w:t>
            </w:r>
          </w:p>
        </w:tc>
        <w:tc>
          <w:tcPr>
            <w:tcW w:w="1701" w:type="dxa"/>
          </w:tcPr>
          <w:p w:rsidR="009E2CB1" w:rsidRPr="009E2CB1" w:rsidRDefault="009E2CB1" w:rsidP="009E2CB1">
            <w:r w:rsidRPr="009E2CB1">
              <w:t>Prozentanteil:</w:t>
            </w:r>
          </w:p>
        </w:tc>
        <w:tc>
          <w:tcPr>
            <w:tcW w:w="425" w:type="dxa"/>
          </w:tcPr>
          <w:p w:rsidR="009E2CB1" w:rsidRPr="009E2CB1" w:rsidRDefault="009E2CB1" w:rsidP="009E2CB1"/>
        </w:tc>
        <w:tc>
          <w:tcPr>
            <w:tcW w:w="2102" w:type="dxa"/>
          </w:tcPr>
          <w:p w:rsidR="009E2CB1" w:rsidRPr="009E2CB1" w:rsidRDefault="009E2CB1" w:rsidP="009E2CB1">
            <w:r w:rsidRPr="009E2CB1">
              <w:t>Produktecode</w:t>
            </w:r>
            <w:r w:rsidRPr="009E2CB1">
              <w:rPr>
                <w:vertAlign w:val="superscript"/>
              </w:rPr>
              <w:footnoteReference w:id="2"/>
            </w:r>
            <w:r w:rsidRPr="009E2CB1">
              <w:t>:</w:t>
            </w:r>
          </w:p>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r w:rsidR="009E2CB1" w:rsidRPr="009E2CB1" w:rsidTr="009E2CB1">
        <w:tc>
          <w:tcPr>
            <w:tcW w:w="3969" w:type="dxa"/>
          </w:tcPr>
          <w:p w:rsidR="009E2CB1" w:rsidRPr="009E2CB1" w:rsidRDefault="009E2CB1" w:rsidP="009E2CB1"/>
        </w:tc>
        <w:tc>
          <w:tcPr>
            <w:tcW w:w="1701" w:type="dxa"/>
          </w:tcPr>
          <w:p w:rsidR="009E2CB1" w:rsidRPr="009E2CB1" w:rsidRDefault="009E2CB1" w:rsidP="009E2CB1"/>
        </w:tc>
        <w:tc>
          <w:tcPr>
            <w:tcW w:w="425" w:type="dxa"/>
          </w:tcPr>
          <w:p w:rsidR="009E2CB1" w:rsidRPr="009E2CB1" w:rsidRDefault="009E2CB1" w:rsidP="009E2CB1">
            <w:r w:rsidRPr="009E2CB1">
              <w:t>%</w:t>
            </w:r>
          </w:p>
        </w:tc>
        <w:tc>
          <w:tcPr>
            <w:tcW w:w="2102" w:type="dxa"/>
          </w:tcPr>
          <w:p w:rsidR="009E2CB1" w:rsidRPr="009E2CB1" w:rsidRDefault="009E2CB1" w:rsidP="009E2CB1"/>
        </w:tc>
      </w:tr>
    </w:tbl>
    <w:p w:rsidR="00CD036C" w:rsidRDefault="00CD036C" w:rsidP="00C42A56"/>
    <w:p w:rsidR="00CD036C" w:rsidRPr="00CD036C" w:rsidRDefault="00CD036C" w:rsidP="00CD036C">
      <w:pPr>
        <w:rPr>
          <w:b/>
        </w:rPr>
      </w:pPr>
      <w:r w:rsidRPr="00CD036C">
        <w:rPr>
          <w:b/>
        </w:rPr>
        <w:t xml:space="preserve">Verfahren nach Produktionskosten-Index PKI </w:t>
      </w:r>
      <w:r w:rsidRPr="00B0550D">
        <w:rPr>
          <w:vanish/>
          <w:color w:val="FF0000"/>
        </w:rPr>
        <w:t>(Bei Nichtgebrauch Teilabschnitt löschen. Anzuwenden für Baumeisterarbeiten, Baugrubensicherungen, Belagsarbeiten)</w:t>
      </w:r>
    </w:p>
    <w:p w:rsidR="00CD036C" w:rsidRPr="00CD036C" w:rsidRDefault="00CD036C" w:rsidP="00CD036C">
      <w:r w:rsidRPr="00CD036C">
        <w:t>Es gilt der Produktionskosten-Index des Schweizerischen Baumeisterverbandes SBV.</w:t>
      </w:r>
    </w:p>
    <w:p w:rsidR="00CD036C" w:rsidRPr="00CD036C" w:rsidRDefault="00CD036C" w:rsidP="00CD036C"/>
    <w:p w:rsidR="00CD036C" w:rsidRPr="00CD036C" w:rsidRDefault="00CD036C" w:rsidP="00CD036C">
      <w:r w:rsidRPr="00CD036C">
        <w:t xml:space="preserve">Für alle Arbeiten kommt folgende Methode zur Anwendung: </w:t>
      </w:r>
      <w:r w:rsidRPr="00B0550D">
        <w:rPr>
          <w:vanish/>
          <w:color w:val="FF0000"/>
        </w:rPr>
        <w:t>(Wichtig - Dem Anbieter ist mitzuteilen, welche Methode anwendet wird.)</w:t>
      </w:r>
    </w:p>
    <w:p w:rsidR="00CD036C" w:rsidRPr="00CD036C" w:rsidRDefault="00CD036C" w:rsidP="00CD036C">
      <w:pPr>
        <w:rPr>
          <w:vanish/>
        </w:rPr>
      </w:pPr>
      <w:r w:rsidRPr="00B0550D">
        <w:rPr>
          <w:vanish/>
          <w:color w:val="FF0000"/>
        </w:rPr>
        <w:t>Entweder:</w:t>
      </w:r>
    </w:p>
    <w:p w:rsidR="00CD036C" w:rsidRPr="00CD036C" w:rsidRDefault="00CD036C" w:rsidP="00CD036C">
      <w:r w:rsidRPr="00CD036C">
        <w:t xml:space="preserve">Methode nach NPK-Kostenmodell. Mit folgenden NPK-Kapiteln: </w:t>
      </w:r>
      <w:r w:rsidRPr="00CD036C">
        <w:fldChar w:fldCharType="begin">
          <w:ffData>
            <w:name w:val="Text51"/>
            <w:enabled/>
            <w:calcOnExit w:val="0"/>
            <w:textInput>
              <w:default w:val="(alle notwendigen NPK-Kapitel auflisten – siehe PKI)"/>
            </w:textInput>
          </w:ffData>
        </w:fldChar>
      </w:r>
      <w:bookmarkStart w:id="4" w:name="Text51"/>
      <w:r w:rsidRPr="00CD036C">
        <w:instrText xml:space="preserve"> FORMTEXT </w:instrText>
      </w:r>
      <w:r w:rsidRPr="00CD036C">
        <w:fldChar w:fldCharType="separate"/>
      </w:r>
      <w:r w:rsidR="00BF364D">
        <w:rPr>
          <w:noProof/>
        </w:rPr>
        <w:t>(alle notwendigen NPK-Kapitel auflisten – siehe PKI)</w:t>
      </w:r>
      <w:r w:rsidRPr="00CD036C">
        <w:fldChar w:fldCharType="end"/>
      </w:r>
      <w:bookmarkEnd w:id="4"/>
    </w:p>
    <w:p w:rsidR="00CD036C" w:rsidRDefault="00CD036C" w:rsidP="00C42A56"/>
    <w:p w:rsidR="00CD036C" w:rsidRPr="00CD036C" w:rsidRDefault="00CD036C" w:rsidP="00CD036C">
      <w:pPr>
        <w:rPr>
          <w:b/>
        </w:rPr>
      </w:pPr>
      <w:r w:rsidRPr="00CD036C">
        <w:rPr>
          <w:b/>
        </w:rPr>
        <w:t xml:space="preserve">Verfahren mit Mengennachweis </w:t>
      </w:r>
      <w:r w:rsidRPr="00B0550D">
        <w:rPr>
          <w:vanish/>
          <w:color w:val="FF0000"/>
        </w:rPr>
        <w:t>(Bei Nichtgebrauch Teilabschnitt löschen)</w:t>
      </w:r>
    </w:p>
    <w:p w:rsidR="00CD036C" w:rsidRPr="00CD036C" w:rsidRDefault="00CD036C" w:rsidP="00CD036C">
      <w:r w:rsidRPr="00CD036C">
        <w:t>Es gilt Norm SIA 118 (Ausgabe 2013), Art. 66 bis 82.</w:t>
      </w:r>
    </w:p>
    <w:p w:rsidR="00CD036C" w:rsidRPr="00CD036C" w:rsidRDefault="00CD036C" w:rsidP="00CD036C"/>
    <w:p w:rsidR="00CD036C" w:rsidRPr="00CD036C" w:rsidRDefault="00CD036C" w:rsidP="00CD036C">
      <w:r w:rsidRPr="00CD036C">
        <w:t>Es gelten folgende Präzisierungen und Abweichungen von der Norm SIA 118:</w:t>
      </w:r>
    </w:p>
    <w:p w:rsidR="00CD036C" w:rsidRPr="00CD036C" w:rsidRDefault="00CD036C" w:rsidP="00CD036C"/>
    <w:p w:rsidR="00CD036C" w:rsidRPr="00CD036C" w:rsidRDefault="00CD036C" w:rsidP="00CD036C">
      <w:pPr>
        <w:numPr>
          <w:ilvl w:val="0"/>
          <w:numId w:val="39"/>
        </w:numPr>
        <w:ind w:left="284" w:hanging="284"/>
      </w:pPr>
      <w:r w:rsidRPr="00CD036C">
        <w:t xml:space="preserve">Der gemäss Art. 71 Abs. 2 (SIA 118) festzulegende Prozentsatz beträgt 15 Prozent der Änderung der Lohnkostenansätze gemäss Art. 63 Abs. 1. </w:t>
      </w:r>
    </w:p>
    <w:p w:rsidR="00CD036C" w:rsidRPr="00CD036C" w:rsidRDefault="00CD036C" w:rsidP="00CD036C">
      <w:pPr>
        <w:ind w:left="284" w:hanging="284"/>
      </w:pPr>
    </w:p>
    <w:p w:rsidR="00CD036C" w:rsidRPr="00CD036C" w:rsidRDefault="00CD036C" w:rsidP="00CD036C">
      <w:pPr>
        <w:numPr>
          <w:ilvl w:val="0"/>
          <w:numId w:val="39"/>
        </w:numPr>
        <w:ind w:left="284" w:hanging="284"/>
      </w:pPr>
      <w:r w:rsidRPr="00CD036C">
        <w:t>Zu Art. 75 Abs. 2: Die Berechnung beschränkt sich auf die im oder am Bau verbleibenden Hauptmaterialien. Der Prozentsatz, um den sich der errechnete Betrag alsdann für den Ausgleich der Preisänderung der nicht erfassten Materialien erhöht, beträgt 5 Prozent.</w:t>
      </w:r>
    </w:p>
    <w:p w:rsidR="00CD036C" w:rsidRPr="00CD036C" w:rsidRDefault="00CD036C" w:rsidP="00CD036C">
      <w:pPr>
        <w:ind w:left="284" w:hanging="284"/>
      </w:pPr>
    </w:p>
    <w:p w:rsidR="00CD036C" w:rsidRPr="00CD036C" w:rsidRDefault="00CD036C" w:rsidP="00CD036C">
      <w:pPr>
        <w:numPr>
          <w:ilvl w:val="0"/>
          <w:numId w:val="39"/>
        </w:numPr>
        <w:ind w:left="284" w:hanging="284"/>
      </w:pPr>
      <w:r w:rsidRPr="00CD036C">
        <w:t>Ohne anderslautende Vereinbarung ist die verhältnismässige Abminderung durch den Art. 75 Abs. 2 festgelegten Prozentsatz abgedeckt.</w:t>
      </w:r>
    </w:p>
    <w:p w:rsidR="00CD036C" w:rsidRPr="00CD036C" w:rsidRDefault="00CD036C" w:rsidP="00CD036C">
      <w:pPr>
        <w:ind w:left="284" w:hanging="284"/>
      </w:pPr>
    </w:p>
    <w:p w:rsidR="00CD036C" w:rsidRPr="00A17068" w:rsidRDefault="00CD036C" w:rsidP="00CD036C">
      <w:pPr>
        <w:pStyle w:val="Listenabsatz"/>
        <w:numPr>
          <w:ilvl w:val="0"/>
          <w:numId w:val="39"/>
        </w:numPr>
        <w:ind w:left="284" w:hanging="284"/>
      </w:pPr>
      <w:r w:rsidRPr="00CD036C">
        <w:t>Ein Anspruch auf Unkostenbeitrag wird wegbedungen.</w:t>
      </w:r>
    </w:p>
    <w:sectPr w:rsidR="00CD036C" w:rsidRPr="00A17068" w:rsidSect="009D31F8">
      <w:headerReference w:type="default" r:id="rId8"/>
      <w:footerReference w:type="default" r:id="rId9"/>
      <w:headerReference w:type="first" r:id="rId10"/>
      <w:footerReference w:type="first" r:id="rId11"/>
      <w:pgSz w:w="11906" w:h="16838" w:code="9"/>
      <w:pgMar w:top="3374"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41" w:rsidRDefault="002C1441" w:rsidP="00F950AA">
      <w:pPr>
        <w:spacing w:line="240" w:lineRule="auto"/>
      </w:pPr>
      <w:r>
        <w:separator/>
      </w:r>
    </w:p>
  </w:endnote>
  <w:endnote w:type="continuationSeparator" w:id="0">
    <w:p w:rsidR="002C1441" w:rsidRDefault="002C144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A6EB3">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91612D" w:rsidP="009D31F8">
                          <w:pPr>
                            <w:jc w:val="right"/>
                          </w:pPr>
                          <w:r w:rsidRPr="008E2142">
                            <w:fldChar w:fldCharType="begin"/>
                          </w:r>
                          <w:r w:rsidR="008E2142" w:rsidRPr="008E2142">
                            <w:instrText xml:space="preserve"> IF </w:instrText>
                          </w:r>
                          <w:fldSimple w:instr=" NUMPAGES  \* Arabic ">
                            <w:r w:rsidR="00421725">
                              <w:rPr>
                                <w:noProof/>
                              </w:rPr>
                              <w:instrText>3</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421725">
                            <w:rPr>
                              <w:noProof/>
                            </w:rPr>
                            <w:instrText>3</w:instrText>
                          </w:r>
                          <w:r w:rsidR="007F7373">
                            <w:rPr>
                              <w:noProof/>
                            </w:rPr>
                            <w:fldChar w:fldCharType="end"/>
                          </w:r>
                          <w:r w:rsidR="008E2142" w:rsidRPr="008E2142">
                            <w:instrText>/</w:instrText>
                          </w:r>
                          <w:fldSimple w:instr=" NUMPAGES  \* Arabic \* MERGEFORMAT ">
                            <w:r w:rsidR="00421725">
                              <w:rPr>
                                <w:noProof/>
                              </w:rPr>
                              <w:instrText>3</w:instrText>
                            </w:r>
                          </w:fldSimple>
                          <w:r w:rsidR="008E2142" w:rsidRPr="008E2142">
                            <w:instrText xml:space="preserve">" "" </w:instrText>
                          </w:r>
                          <w:r w:rsidRPr="008E2142">
                            <w:fldChar w:fldCharType="separate"/>
                          </w:r>
                          <w:r w:rsidR="00421725">
                            <w:rPr>
                              <w:noProof/>
                            </w:rPr>
                            <w:t>3</w:t>
                          </w:r>
                          <w:r w:rsidR="00421725" w:rsidRPr="008E2142">
                            <w:rPr>
                              <w:noProof/>
                            </w:rPr>
                            <w:t>/</w:t>
                          </w:r>
                          <w:r w:rsidR="00421725">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91612D" w:rsidP="009D31F8">
                    <w:pPr>
                      <w:jc w:val="right"/>
                    </w:pPr>
                    <w:r w:rsidRPr="008E2142">
                      <w:fldChar w:fldCharType="begin"/>
                    </w:r>
                    <w:r w:rsidR="008E2142" w:rsidRPr="008E2142">
                      <w:instrText xml:space="preserve"> IF </w:instrText>
                    </w:r>
                    <w:fldSimple w:instr=" NUMPAGES  \* Arabic ">
                      <w:r w:rsidR="00421725">
                        <w:rPr>
                          <w:noProof/>
                        </w:rPr>
                        <w:instrText>3</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421725">
                      <w:rPr>
                        <w:noProof/>
                      </w:rPr>
                      <w:instrText>3</w:instrText>
                    </w:r>
                    <w:r w:rsidR="007F7373">
                      <w:rPr>
                        <w:noProof/>
                      </w:rPr>
                      <w:fldChar w:fldCharType="end"/>
                    </w:r>
                    <w:r w:rsidR="008E2142" w:rsidRPr="008E2142">
                      <w:instrText>/</w:instrText>
                    </w:r>
                    <w:fldSimple w:instr=" NUMPAGES  \* Arabic \* MERGEFORMAT ">
                      <w:r w:rsidR="00421725">
                        <w:rPr>
                          <w:noProof/>
                        </w:rPr>
                        <w:instrText>3</w:instrText>
                      </w:r>
                    </w:fldSimple>
                    <w:r w:rsidR="008E2142" w:rsidRPr="008E2142">
                      <w:instrText xml:space="preserve">" "" </w:instrText>
                    </w:r>
                    <w:r w:rsidRPr="008E2142">
                      <w:fldChar w:fldCharType="separate"/>
                    </w:r>
                    <w:r w:rsidR="00421725">
                      <w:rPr>
                        <w:noProof/>
                      </w:rPr>
                      <w:t>3</w:t>
                    </w:r>
                    <w:r w:rsidR="00421725" w:rsidRPr="008E2142">
                      <w:rPr>
                        <w:noProof/>
                      </w:rPr>
                      <w:t>/</w:t>
                    </w:r>
                    <w:r w:rsidR="00421725">
                      <w:rPr>
                        <w:noProof/>
                      </w:rPr>
                      <w:t>3</w:t>
                    </w:r>
                    <w:r w:rsidRPr="008E2142">
                      <w:fldChar w:fldCharType="end"/>
                    </w:r>
                  </w:p>
                </w:txbxContent>
              </v:textbox>
              <w10:wrap anchorx="page" anchory="page"/>
              <w10:anchorlock/>
            </v:shape>
          </w:pict>
        </mc:Fallback>
      </mc:AlternateContent>
    </w:r>
    <w:fldSimple w:instr=" FILENAME   \* MERGEFORMAT ">
      <w:r w:rsidR="00BF364D">
        <w:rPr>
          <w:noProof/>
        </w:rPr>
        <w:t>Beiblatt Mehr- und Mindervergütung AB HBA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A6EB3">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91612D" w:rsidP="009D31F8">
                          <w:pPr>
                            <w:jc w:val="right"/>
                          </w:pPr>
                          <w:r w:rsidRPr="008E2142">
                            <w:fldChar w:fldCharType="begin"/>
                          </w:r>
                          <w:r w:rsidR="008E2142" w:rsidRPr="008E2142">
                            <w:instrText xml:space="preserve"> IF </w:instrText>
                          </w:r>
                          <w:fldSimple w:instr=" NUMPAGES  \* Arabic ">
                            <w:r w:rsidR="000371EB">
                              <w:rPr>
                                <w:noProof/>
                              </w:rPr>
                              <w:instrText>3</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0371EB">
                            <w:rPr>
                              <w:noProof/>
                            </w:rPr>
                            <w:instrText>1</w:instrText>
                          </w:r>
                          <w:r w:rsidR="007F7373">
                            <w:rPr>
                              <w:noProof/>
                            </w:rPr>
                            <w:fldChar w:fldCharType="end"/>
                          </w:r>
                          <w:r w:rsidR="008E2142" w:rsidRPr="008E2142">
                            <w:instrText>/</w:instrText>
                          </w:r>
                          <w:fldSimple w:instr=" NUMPAGES  \* Arabic \* MERGEFORMAT ">
                            <w:r w:rsidR="000371EB">
                              <w:rPr>
                                <w:noProof/>
                              </w:rPr>
                              <w:instrText>3</w:instrText>
                            </w:r>
                          </w:fldSimple>
                          <w:r w:rsidR="008E2142" w:rsidRPr="008E2142">
                            <w:instrText xml:space="preserve">" "" </w:instrText>
                          </w:r>
                          <w:r w:rsidR="000371EB">
                            <w:fldChar w:fldCharType="separate"/>
                          </w:r>
                          <w:r w:rsidR="000371EB">
                            <w:rPr>
                              <w:noProof/>
                            </w:rPr>
                            <w:t>1</w:t>
                          </w:r>
                          <w:r w:rsidR="000371EB" w:rsidRPr="008E2142">
                            <w:rPr>
                              <w:noProof/>
                            </w:rPr>
                            <w:t>/</w:t>
                          </w:r>
                          <w:r w:rsidR="000371EB">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91612D" w:rsidP="009D31F8">
                    <w:pPr>
                      <w:jc w:val="right"/>
                    </w:pPr>
                    <w:r w:rsidRPr="008E2142">
                      <w:fldChar w:fldCharType="begin"/>
                    </w:r>
                    <w:r w:rsidR="008E2142" w:rsidRPr="008E2142">
                      <w:instrText xml:space="preserve"> IF </w:instrText>
                    </w:r>
                    <w:fldSimple w:instr=" NUMPAGES  \* Arabic ">
                      <w:r w:rsidR="000371EB">
                        <w:rPr>
                          <w:noProof/>
                        </w:rPr>
                        <w:instrText>3</w:instrText>
                      </w:r>
                    </w:fldSimple>
                    <w:r w:rsidR="008E2142" w:rsidRPr="008E2142">
                      <w:instrText xml:space="preserve"> &gt; 1  "</w:instrText>
                    </w:r>
                    <w:r w:rsidR="007F7373">
                      <w:fldChar w:fldCharType="begin"/>
                    </w:r>
                    <w:r w:rsidR="007F7373">
                      <w:instrText xml:space="preserve"> PAGE  \* Arabic \* MERGEFORMAT </w:instrText>
                    </w:r>
                    <w:r w:rsidR="007F7373">
                      <w:fldChar w:fldCharType="separate"/>
                    </w:r>
                    <w:r w:rsidR="000371EB">
                      <w:rPr>
                        <w:noProof/>
                      </w:rPr>
                      <w:instrText>1</w:instrText>
                    </w:r>
                    <w:r w:rsidR="007F7373">
                      <w:rPr>
                        <w:noProof/>
                      </w:rPr>
                      <w:fldChar w:fldCharType="end"/>
                    </w:r>
                    <w:r w:rsidR="008E2142" w:rsidRPr="008E2142">
                      <w:instrText>/</w:instrText>
                    </w:r>
                    <w:fldSimple w:instr=" NUMPAGES  \* Arabic \* MERGEFORMAT ">
                      <w:r w:rsidR="000371EB">
                        <w:rPr>
                          <w:noProof/>
                        </w:rPr>
                        <w:instrText>3</w:instrText>
                      </w:r>
                    </w:fldSimple>
                    <w:r w:rsidR="008E2142" w:rsidRPr="008E2142">
                      <w:instrText xml:space="preserve">" "" </w:instrText>
                    </w:r>
                    <w:r w:rsidR="000371EB">
                      <w:fldChar w:fldCharType="separate"/>
                    </w:r>
                    <w:r w:rsidR="000371EB">
                      <w:rPr>
                        <w:noProof/>
                      </w:rPr>
                      <w:t>1</w:t>
                    </w:r>
                    <w:r w:rsidR="000371EB" w:rsidRPr="008E2142">
                      <w:rPr>
                        <w:noProof/>
                      </w:rPr>
                      <w:t>/</w:t>
                    </w:r>
                    <w:r w:rsidR="000371EB">
                      <w:rPr>
                        <w:noProof/>
                      </w:rPr>
                      <w:t>3</w:t>
                    </w:r>
                    <w:r w:rsidRPr="008E2142">
                      <w:fldChar w:fldCharType="end"/>
                    </w:r>
                  </w:p>
                </w:txbxContent>
              </v:textbox>
              <w10:wrap anchorx="page" anchory="page"/>
              <w10:anchorlock/>
            </v:shape>
          </w:pict>
        </mc:Fallback>
      </mc:AlternateContent>
    </w:r>
    <w:fldSimple w:instr=" FILENAME   \* MERGEFORMAT ">
      <w:r w:rsidR="00BF364D">
        <w:rPr>
          <w:noProof/>
        </w:rPr>
        <w:t>Beiblatt Mehr- und Mindervergütung AB HBA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41" w:rsidRDefault="002C1441" w:rsidP="00F950AA">
      <w:pPr>
        <w:spacing w:line="240" w:lineRule="auto"/>
      </w:pPr>
      <w:r>
        <w:separator/>
      </w:r>
    </w:p>
  </w:footnote>
  <w:footnote w:type="continuationSeparator" w:id="0">
    <w:p w:rsidR="002C1441" w:rsidRDefault="002C1441" w:rsidP="00F950AA">
      <w:pPr>
        <w:spacing w:line="240" w:lineRule="auto"/>
      </w:pPr>
      <w:r>
        <w:continuationSeparator/>
      </w:r>
    </w:p>
  </w:footnote>
  <w:footnote w:id="1">
    <w:p w:rsidR="009E2CB1" w:rsidRDefault="009E2CB1" w:rsidP="009E2CB1">
      <w:pPr>
        <w:pStyle w:val="Funotentext"/>
      </w:pPr>
      <w:r w:rsidRPr="00214A3D">
        <w:rPr>
          <w:rStyle w:val="Funotenzeichen"/>
          <w:szCs w:val="16"/>
        </w:rPr>
        <w:footnoteRef/>
      </w:r>
      <w:r w:rsidRPr="00214A3D">
        <w:rPr>
          <w:sz w:val="16"/>
          <w:szCs w:val="16"/>
        </w:rPr>
        <w:t xml:space="preserve"> </w:t>
      </w:r>
      <w:r w:rsidRPr="00214A3D">
        <w:rPr>
          <w:sz w:val="18"/>
          <w:szCs w:val="18"/>
        </w:rPr>
        <w:t>Von Anbieter auszufüllen</w:t>
      </w:r>
    </w:p>
  </w:footnote>
  <w:footnote w:id="2">
    <w:p w:rsidR="009E2CB1" w:rsidRPr="00214A3D" w:rsidRDefault="009E2CB1" w:rsidP="009E2CB1">
      <w:pPr>
        <w:pStyle w:val="Funotentext"/>
        <w:rPr>
          <w:sz w:val="18"/>
          <w:szCs w:val="18"/>
        </w:rPr>
      </w:pPr>
      <w:r w:rsidRPr="00214A3D">
        <w:rPr>
          <w:rStyle w:val="Funotenzeichen"/>
          <w:szCs w:val="16"/>
        </w:rPr>
        <w:footnoteRef/>
      </w:r>
      <w:r w:rsidRPr="00214A3D">
        <w:rPr>
          <w:sz w:val="16"/>
          <w:szCs w:val="16"/>
        </w:rPr>
        <w:t xml:space="preserve"> </w:t>
      </w:r>
      <w:r w:rsidRPr="00214A3D">
        <w:rPr>
          <w:sz w:val="18"/>
          <w:szCs w:val="18"/>
        </w:rPr>
        <w:t xml:space="preserve">Publikation Produzenten- und Importpreisindex des </w:t>
      </w:r>
      <w:r w:rsidR="000F5579">
        <w:rPr>
          <w:sz w:val="18"/>
          <w:szCs w:val="18"/>
        </w:rPr>
        <w:t>Bundesamtes für Statistik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6A6EB3">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6A6EB3">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A23F71">
    <w:pPr>
      <w:pStyle w:val="Kopfzeile"/>
    </w:pPr>
    <w:r>
      <w:t>Bau</w:t>
    </w:r>
    <w:r w:rsidR="007F7373">
      <w:t>- und Umwelt</w:t>
    </w:r>
    <w:r>
      <w:t>departement</w:t>
    </w:r>
  </w:p>
  <w:p w:rsidR="00F950AA" w:rsidRDefault="00F950AA">
    <w:pPr>
      <w:pStyle w:val="Kopfzeile"/>
    </w:pPr>
  </w:p>
  <w:p w:rsidR="00F950AA" w:rsidRDefault="00A23F71">
    <w:pPr>
      <w:pStyle w:val="Kopfzeile"/>
      <w:rPr>
        <w:b/>
      </w:rPr>
    </w:pPr>
    <w:r>
      <w:rPr>
        <w:b/>
      </w:rPr>
      <w:t>Hochbauamt</w:t>
    </w:r>
  </w:p>
  <w:p w:rsidR="00A23F71" w:rsidRDefault="00A23F71">
    <w:pPr>
      <w:pStyle w:val="Kopfzeile"/>
      <w:rPr>
        <w:b/>
      </w:rPr>
    </w:pPr>
  </w:p>
  <w:p w:rsidR="00A23F71" w:rsidRDefault="00A23F71">
    <w:pPr>
      <w:pStyle w:val="Kopfzeile"/>
      <w:rPr>
        <w:b/>
      </w:rPr>
    </w:pPr>
  </w:p>
  <w:p w:rsidR="00AA7218" w:rsidRPr="00214A3D" w:rsidRDefault="00B0550D">
    <w:pPr>
      <w:pStyle w:val="Kopfzeile"/>
      <w:rPr>
        <w:vanish/>
        <w:color w:val="FF0000"/>
      </w:rPr>
    </w:pPr>
    <w:r w:rsidRPr="00214A3D">
      <w:rPr>
        <w:vanish/>
        <w:color w:val="FF0000"/>
      </w:rPr>
      <w:t>Hinweis: Vorgängig für die Arbeitsgattung die Teuerungsberechnung bestimmen. Nicht verwendete Text</w:t>
    </w:r>
    <w:r w:rsidR="00214A3D" w:rsidRPr="00214A3D">
      <w:rPr>
        <w:vanish/>
        <w:color w:val="FF0000"/>
      </w:rPr>
      <w:t>bausteine löschen oder streichen.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40231"/>
    <w:multiLevelType w:val="hybridMultilevel"/>
    <w:tmpl w:val="753ABED6"/>
    <w:lvl w:ilvl="0" w:tplc="AF3045F6">
      <w:start w:val="18"/>
      <w:numFmt w:val="bullet"/>
      <w:lvlText w:val="-"/>
      <w:lvlJc w:val="left"/>
      <w:pPr>
        <w:ind w:left="1134" w:hanging="490"/>
      </w:pPr>
      <w:rPr>
        <w:rFonts w:ascii="Arial" w:hAnsi="Arial" w:hint="default"/>
        <w:color w:val="auto"/>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D224C2"/>
    <w:multiLevelType w:val="hybridMultilevel"/>
    <w:tmpl w:val="9F7E2C16"/>
    <w:lvl w:ilvl="0" w:tplc="8418ED4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917ECA"/>
    <w:multiLevelType w:val="hybridMultilevel"/>
    <w:tmpl w:val="A9F83998"/>
    <w:lvl w:ilvl="0" w:tplc="876E0800">
      <w:start w:val="521"/>
      <w:numFmt w:val="bullet"/>
      <w:lvlText w:val="–"/>
      <w:lvlJc w:val="left"/>
      <w:pPr>
        <w:ind w:left="1778" w:hanging="360"/>
      </w:pPr>
      <w:rPr>
        <w:rFonts w:ascii="Arial" w:eastAsia="Times New Roman" w:hAnsi="Arial" w:cs="Arial" w:hint="default"/>
        <w:color w:val="auto"/>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2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75578F"/>
    <w:multiLevelType w:val="hybridMultilevel"/>
    <w:tmpl w:val="97FE8C70"/>
    <w:lvl w:ilvl="0" w:tplc="F8DA57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9"/>
  </w:num>
  <w:num w:numId="4">
    <w:abstractNumId w:val="18"/>
  </w:num>
  <w:num w:numId="5">
    <w:abstractNumId w:val="9"/>
  </w:num>
  <w:num w:numId="6">
    <w:abstractNumId w:val="7"/>
  </w:num>
  <w:num w:numId="7">
    <w:abstractNumId w:val="6"/>
  </w:num>
  <w:num w:numId="8">
    <w:abstractNumId w:val="5"/>
  </w:num>
  <w:num w:numId="9">
    <w:abstractNumId w:val="4"/>
  </w:num>
  <w:num w:numId="10">
    <w:abstractNumId w:val="24"/>
  </w:num>
  <w:num w:numId="11">
    <w:abstractNumId w:val="21"/>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12"/>
  </w:num>
  <w:num w:numId="22">
    <w:abstractNumId w:val="28"/>
  </w:num>
  <w:num w:numId="23">
    <w:abstractNumId w:val="23"/>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3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2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68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56"/>
    <w:rsid w:val="00002231"/>
    <w:rsid w:val="00020F17"/>
    <w:rsid w:val="000371EB"/>
    <w:rsid w:val="00043B4C"/>
    <w:rsid w:val="00080AC1"/>
    <w:rsid w:val="00094AB5"/>
    <w:rsid w:val="000D0484"/>
    <w:rsid w:val="000D7DF3"/>
    <w:rsid w:val="000E061D"/>
    <w:rsid w:val="000E0F92"/>
    <w:rsid w:val="000E7EAA"/>
    <w:rsid w:val="000F3735"/>
    <w:rsid w:val="000F5579"/>
    <w:rsid w:val="001022B8"/>
    <w:rsid w:val="001153DF"/>
    <w:rsid w:val="001275FC"/>
    <w:rsid w:val="0013600C"/>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14A3D"/>
    <w:rsid w:val="002209E6"/>
    <w:rsid w:val="00224406"/>
    <w:rsid w:val="00225FA4"/>
    <w:rsid w:val="00235ACE"/>
    <w:rsid w:val="00242095"/>
    <w:rsid w:val="00242FE1"/>
    <w:rsid w:val="00260856"/>
    <w:rsid w:val="00264D4E"/>
    <w:rsid w:val="00266934"/>
    <w:rsid w:val="002725AA"/>
    <w:rsid w:val="00274442"/>
    <w:rsid w:val="00281B3C"/>
    <w:rsid w:val="002B0C42"/>
    <w:rsid w:val="002C1441"/>
    <w:rsid w:val="002E1138"/>
    <w:rsid w:val="002F34B3"/>
    <w:rsid w:val="002F4EA8"/>
    <w:rsid w:val="0030001D"/>
    <w:rsid w:val="00305245"/>
    <w:rsid w:val="00317ABC"/>
    <w:rsid w:val="00321917"/>
    <w:rsid w:val="00322543"/>
    <w:rsid w:val="00335654"/>
    <w:rsid w:val="003361F9"/>
    <w:rsid w:val="0038106E"/>
    <w:rsid w:val="003813B6"/>
    <w:rsid w:val="00387F76"/>
    <w:rsid w:val="003A7A0D"/>
    <w:rsid w:val="003B3C9C"/>
    <w:rsid w:val="003C0FD5"/>
    <w:rsid w:val="003D25A1"/>
    <w:rsid w:val="003E39A9"/>
    <w:rsid w:val="003E78A4"/>
    <w:rsid w:val="00400242"/>
    <w:rsid w:val="00420909"/>
    <w:rsid w:val="00421725"/>
    <w:rsid w:val="00434C01"/>
    <w:rsid w:val="0045415B"/>
    <w:rsid w:val="00457FFE"/>
    <w:rsid w:val="00473144"/>
    <w:rsid w:val="00475B10"/>
    <w:rsid w:val="00480776"/>
    <w:rsid w:val="0048751B"/>
    <w:rsid w:val="004911AC"/>
    <w:rsid w:val="004B56C5"/>
    <w:rsid w:val="004C5E16"/>
    <w:rsid w:val="004F5BF2"/>
    <w:rsid w:val="004F6743"/>
    <w:rsid w:val="0052482C"/>
    <w:rsid w:val="00527AF4"/>
    <w:rsid w:val="00535D71"/>
    <w:rsid w:val="005645A5"/>
    <w:rsid w:val="005736FE"/>
    <w:rsid w:val="00592629"/>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A6EB3"/>
    <w:rsid w:val="006B3AAA"/>
    <w:rsid w:val="006B438C"/>
    <w:rsid w:val="006B6E33"/>
    <w:rsid w:val="006C6795"/>
    <w:rsid w:val="006E7AC6"/>
    <w:rsid w:val="006F0559"/>
    <w:rsid w:val="006F5AD7"/>
    <w:rsid w:val="0070407C"/>
    <w:rsid w:val="007055B1"/>
    <w:rsid w:val="00716B9A"/>
    <w:rsid w:val="007221FF"/>
    <w:rsid w:val="00723576"/>
    <w:rsid w:val="00727F08"/>
    <w:rsid w:val="0073263E"/>
    <w:rsid w:val="00764307"/>
    <w:rsid w:val="00786FD9"/>
    <w:rsid w:val="007A45ED"/>
    <w:rsid w:val="007A502E"/>
    <w:rsid w:val="007B5413"/>
    <w:rsid w:val="007D26E2"/>
    <w:rsid w:val="007D7944"/>
    <w:rsid w:val="007E0AB6"/>
    <w:rsid w:val="007E7E1C"/>
    <w:rsid w:val="007F413D"/>
    <w:rsid w:val="007F4780"/>
    <w:rsid w:val="007F6A3F"/>
    <w:rsid w:val="007F7373"/>
    <w:rsid w:val="00815FF7"/>
    <w:rsid w:val="00831246"/>
    <w:rsid w:val="00831C97"/>
    <w:rsid w:val="0086630E"/>
    <w:rsid w:val="008715DA"/>
    <w:rsid w:val="0089024B"/>
    <w:rsid w:val="00896FF1"/>
    <w:rsid w:val="008B6F8A"/>
    <w:rsid w:val="008C0EC0"/>
    <w:rsid w:val="008D0C91"/>
    <w:rsid w:val="008D1AAE"/>
    <w:rsid w:val="008E2142"/>
    <w:rsid w:val="0091612D"/>
    <w:rsid w:val="00916FEC"/>
    <w:rsid w:val="0093453E"/>
    <w:rsid w:val="00941594"/>
    <w:rsid w:val="0094470A"/>
    <w:rsid w:val="00944747"/>
    <w:rsid w:val="009470A7"/>
    <w:rsid w:val="009538EA"/>
    <w:rsid w:val="009725F3"/>
    <w:rsid w:val="009A78DC"/>
    <w:rsid w:val="009B2BB0"/>
    <w:rsid w:val="009D0BE3"/>
    <w:rsid w:val="009D31F8"/>
    <w:rsid w:val="009E2CB1"/>
    <w:rsid w:val="009E44E7"/>
    <w:rsid w:val="009E557B"/>
    <w:rsid w:val="009F6714"/>
    <w:rsid w:val="009F721F"/>
    <w:rsid w:val="00A02147"/>
    <w:rsid w:val="00A02A20"/>
    <w:rsid w:val="00A17068"/>
    <w:rsid w:val="00A23F71"/>
    <w:rsid w:val="00A24AC0"/>
    <w:rsid w:val="00A3762E"/>
    <w:rsid w:val="00A449E3"/>
    <w:rsid w:val="00A501BC"/>
    <w:rsid w:val="00A506C7"/>
    <w:rsid w:val="00AA32B5"/>
    <w:rsid w:val="00AA7218"/>
    <w:rsid w:val="00AB38D6"/>
    <w:rsid w:val="00AC6558"/>
    <w:rsid w:val="00AC6F07"/>
    <w:rsid w:val="00AD4320"/>
    <w:rsid w:val="00B0550D"/>
    <w:rsid w:val="00B0693E"/>
    <w:rsid w:val="00B1302B"/>
    <w:rsid w:val="00B2067D"/>
    <w:rsid w:val="00B665AC"/>
    <w:rsid w:val="00B72875"/>
    <w:rsid w:val="00BD1F5D"/>
    <w:rsid w:val="00BD6A49"/>
    <w:rsid w:val="00BE7264"/>
    <w:rsid w:val="00BF364D"/>
    <w:rsid w:val="00BF51AD"/>
    <w:rsid w:val="00C23FB5"/>
    <w:rsid w:val="00C2664D"/>
    <w:rsid w:val="00C42A56"/>
    <w:rsid w:val="00C726C1"/>
    <w:rsid w:val="00C975F7"/>
    <w:rsid w:val="00CA3BCA"/>
    <w:rsid w:val="00CA6880"/>
    <w:rsid w:val="00CA7F1D"/>
    <w:rsid w:val="00CD036C"/>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11D5"/>
    <w:rsid w:val="00F226F1"/>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B8836A2-2E30-43FC-AB2F-E0CDC047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Funotentext">
    <w:name w:val="footnote text"/>
    <w:basedOn w:val="Standard"/>
    <w:link w:val="FunotentextZchn"/>
    <w:uiPriority w:val="99"/>
    <w:semiHidden/>
    <w:unhideWhenUsed/>
    <w:rsid w:val="009E2CB1"/>
    <w:pPr>
      <w:spacing w:line="240" w:lineRule="auto"/>
    </w:pPr>
    <w:rPr>
      <w:sz w:val="20"/>
      <w:szCs w:val="20"/>
    </w:rPr>
  </w:style>
  <w:style w:type="character" w:customStyle="1" w:styleId="FunotentextZchn">
    <w:name w:val="Fußnotentext Zchn"/>
    <w:basedOn w:val="Absatz-Standardschriftart"/>
    <w:link w:val="Funotentext"/>
    <w:uiPriority w:val="99"/>
    <w:semiHidden/>
    <w:rsid w:val="009E2CB1"/>
    <w:rPr>
      <w:sz w:val="20"/>
      <w:szCs w:val="20"/>
    </w:rPr>
  </w:style>
  <w:style w:type="character" w:styleId="Funotenzeichen">
    <w:name w:val="footnote reference"/>
    <w:basedOn w:val="Absatz-Standardschriftart"/>
    <w:semiHidden/>
    <w:rsid w:val="009E2CB1"/>
    <w:rPr>
      <w:rFonts w:ascii="Arial" w:hAnsi="Arial"/>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492B-2881-4183-8C08-EB678008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070Leer_mitLogo.dotx</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Bünter, Patrick</dc:creator>
  <dc:description>Version 1.1 / 06.02.2011</dc:description>
  <cp:lastModifiedBy>Scherrer Sarah BD-HBA-ZD</cp:lastModifiedBy>
  <cp:revision>2</cp:revision>
  <cp:lastPrinted>2022-11-21T09:48:00Z</cp:lastPrinted>
  <dcterms:created xsi:type="dcterms:W3CDTF">2023-02-27T10:59:00Z</dcterms:created>
  <dcterms:modified xsi:type="dcterms:W3CDTF">2023-02-27T10:59:00Z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